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pPr>
      <w:r>
        <w:rPr>
          <w:rFonts w:hint="eastAsia" w:ascii="方正小标宋_GBK" w:hAnsi="方正小标宋_GBK" w:eastAsia="方正小标宋_GBK" w:cs="方正小标宋_GBK"/>
          <w:sz w:val="44"/>
          <w:szCs w:val="44"/>
        </w:rPr>
        <w:drawing>
          <wp:anchor distT="0" distB="0" distL="114300" distR="114300" simplePos="0" relativeHeight="251659264" behindDoc="1" locked="0" layoutInCell="1" allowOverlap="1">
            <wp:simplePos x="0" y="0"/>
            <wp:positionH relativeFrom="column">
              <wp:posOffset>-1028065</wp:posOffset>
            </wp:positionH>
            <wp:positionV relativeFrom="paragraph">
              <wp:posOffset>-1306830</wp:posOffset>
            </wp:positionV>
            <wp:extent cx="7557770" cy="10688955"/>
            <wp:effectExtent l="0" t="0" r="5080" b="17145"/>
            <wp:wrapNone/>
            <wp:docPr id="1" name="图片 1" descr="红头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红头图片"/>
                    <pic:cNvPicPr>
                      <a:picLocks noChangeAspect="1"/>
                    </pic:cNvPicPr>
                  </pic:nvPicPr>
                  <pic:blipFill>
                    <a:blip r:embed="rId5"/>
                    <a:stretch>
                      <a:fillRect/>
                    </a:stretch>
                  </pic:blipFill>
                  <pic:spPr>
                    <a:xfrm>
                      <a:off x="0" y="0"/>
                      <a:ext cx="7557770" cy="10688955"/>
                    </a:xfrm>
                    <a:prstGeom prst="rect">
                      <a:avLst/>
                    </a:prstGeom>
                  </pic:spPr>
                </pic:pic>
              </a:graphicData>
            </a:graphic>
          </wp:anchor>
        </w:drawing>
      </w:r>
    </w:p>
    <w:p>
      <w:pPr>
        <w:spacing w:line="560" w:lineRule="exact"/>
      </w:pPr>
    </w:p>
    <w:p>
      <w:pPr>
        <w:spacing w:line="560" w:lineRule="exact"/>
        <w:jc w:val="center"/>
        <w:rPr>
          <w:rFonts w:hint="eastAsia" w:ascii="方正小标宋_GBK" w:hAnsi="方正小标宋_GBK" w:eastAsia="方正小标宋_GBK" w:cs="方正小标宋_GBK"/>
          <w:sz w:val="44"/>
          <w:szCs w:val="44"/>
        </w:rPr>
      </w:pP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青岛市市场监督管理局</w:t>
      </w: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关于开展知识产权赋能产业高质量发展任务</w:t>
      </w: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揭榜挂帅工作的通知</w:t>
      </w:r>
    </w:p>
    <w:p>
      <w:pPr>
        <w:spacing w:line="560" w:lineRule="exact"/>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各区市市场监管局，青岛自贸片区</w:t>
      </w:r>
      <w:r>
        <w:rPr>
          <w:rFonts w:hint="eastAsia" w:ascii="仿宋_GB2312" w:hAnsi="仿宋_GB2312" w:eastAsia="仿宋_GB2312" w:cs="仿宋_GB2312"/>
          <w:sz w:val="32"/>
          <w:szCs w:val="32"/>
          <w:lang w:val="en-US" w:eastAsia="zh-CN"/>
        </w:rPr>
        <w:t>营商环境部</w:t>
      </w:r>
      <w:r>
        <w:rPr>
          <w:rFonts w:hint="eastAsia" w:ascii="仿宋_GB2312" w:hAnsi="仿宋_GB2312" w:eastAsia="仿宋_GB2312" w:cs="仿宋_GB2312"/>
          <w:sz w:val="32"/>
          <w:szCs w:val="32"/>
        </w:rPr>
        <w:t>，各有关单位：</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山东省人民政府办公厅关于印发关于进一步推动专利产业化赋能现代化产业体系建设的若干措施》（鲁政办字〔2025〕47号）文件精神，充分发挥知识产权创新提效作用，赋能全市创新型产业体系建设，市市场监管局组织开展知识产权赋能产业高质量发展任务“揭榜挂帅”工作。有关事项通知如下：</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一、任务内涵</w:t>
      </w:r>
    </w:p>
    <w:p>
      <w:pPr>
        <w:spacing w:line="560" w:lineRule="exact"/>
        <w:ind w:firstLine="640" w:firstLineChars="200"/>
        <w:rPr>
          <w:rFonts w:ascii="黑体" w:hAnsi="黑体" w:eastAsia="黑体" w:cs="黑体"/>
          <w:sz w:val="32"/>
          <w:szCs w:val="32"/>
        </w:rPr>
      </w:pPr>
      <w:r>
        <w:rPr>
          <w:rFonts w:hint="eastAsia" w:ascii="仿宋_GB2312" w:hAnsi="仿宋_GB2312" w:eastAsia="仿宋_GB2312" w:cs="仿宋_GB2312"/>
          <w:sz w:val="32"/>
          <w:szCs w:val="32"/>
        </w:rPr>
        <w:t>“揭榜挂帅”任务分为重点产业知识产权运营中心建设项目和知识产权市场化机构服务专利产业化项目，主要聚焦青岛市“10+1”创新型产业体系，围绕构建重点产业全产业链知识产权运营、服务生态，由市市场监管局面向相关单位“张榜”，发掘培育一批在产业链中具有突出行业影响力、服务创新能力和知识产权运营优势，能够带动我市重点产业链上下游各类主体协同发展的主体，组织服务创新主体开展知识产权运营；引导培育一批知识产权市场化服务机构拓展服务领域，构建以促进专利产业化为导向的专利“获权-用权-维权”全链条服务生态，为我市重点产业提供集成化专利转化运用解决方案。通过组织揭榜单位开展榜单任务，高质量服务新质生产力，赋能我市产业发展。</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二、榜单设置</w:t>
      </w:r>
    </w:p>
    <w:p>
      <w:pPr>
        <w:spacing w:line="560"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（一）重点产业知识产权运营中心建设项目。</w:t>
      </w:r>
      <w:r>
        <w:rPr>
          <w:rFonts w:hint="eastAsia" w:ascii="仿宋_GB2312" w:hAnsi="仿宋_GB2312" w:eastAsia="仿宋_GB2312" w:cs="仿宋_GB2312"/>
          <w:sz w:val="32"/>
          <w:szCs w:val="32"/>
        </w:rPr>
        <w:t>揭榜单位为属于青岛市“10+1”</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创新型产业发展方向的企业、科研能力突出的科研院所、重点产业集聚的省级及以上产业园区或行业协会等。揭榜单位应集聚技术、数据、人才、资本等要素资源，通过建设产业知识产权运营中心，整合本产业链产学研和上下游企业创新要素，服务产业知识产权高质量创造、高效益转化、协同创新和高水平保护，并取得显著成效。全市支持项目不超过3个。</w:t>
      </w:r>
    </w:p>
    <w:p>
      <w:pPr>
        <w:spacing w:line="560"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（二）知识产权市场化机构服务专利产业化项目。</w:t>
      </w:r>
      <w:r>
        <w:rPr>
          <w:rFonts w:hint="eastAsia" w:ascii="仿宋_GB2312" w:hAnsi="仿宋_GB2312" w:eastAsia="仿宋_GB2312" w:cs="仿宋_GB2312"/>
          <w:sz w:val="32"/>
          <w:szCs w:val="32"/>
        </w:rPr>
        <w:t>揭榜单位为具备知识产权全链条高质量服务能力的市场化服务机构。应为青岛市创新主体提供高价值知识产权培育、收储、托管、转化运用、</w:t>
      </w:r>
      <w:r>
        <w:rPr>
          <w:rFonts w:hint="eastAsia" w:ascii="仿宋_GB2312" w:hAnsi="仿宋_GB2312" w:eastAsia="仿宋_GB2312" w:cs="仿宋_GB2312"/>
          <w:sz w:val="32"/>
          <w:szCs w:val="32"/>
          <w:lang w:val="en-US" w:eastAsia="zh-CN"/>
        </w:rPr>
        <w:t>保护、</w:t>
      </w:r>
      <w:r>
        <w:rPr>
          <w:rFonts w:hint="eastAsia" w:ascii="仿宋_GB2312" w:hAnsi="仿宋_GB2312" w:eastAsia="仿宋_GB2312" w:cs="仿宋_GB2312"/>
          <w:sz w:val="32"/>
          <w:szCs w:val="32"/>
        </w:rPr>
        <w:t>金融支撑等专业服务，为重点产业提供行业分析，组织知识产权供需对接活动和项目，推动专利转化运用成效显著。全市支持项目不超过3个。</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具体揭榜条件和榜单任务见申报指南（附件1）。已获国家知识产权局、山东省市场监管局同类型项目资金支持的单位不列入此次申报范围之内。</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三、申报程序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有意向的揭榜单位应在榜单发布之日起，结合榜单具体需求及自身能力进行揭榜申报。</w:t>
      </w:r>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（一）项目申报。</w:t>
      </w:r>
      <w:r>
        <w:rPr>
          <w:rFonts w:hint="eastAsia" w:ascii="仿宋_GB2312" w:hAnsi="仿宋_GB2312" w:eastAsia="仿宋_GB2312" w:cs="仿宋_GB2312"/>
          <w:sz w:val="32"/>
          <w:szCs w:val="32"/>
        </w:rPr>
        <w:t>请各申报主体于2026年10月26日前，填报《青岛市重点产业知识产权运营中心建设项目揭榜挂帅申报材料》（附件2）或《青岛市</w:t>
      </w:r>
      <w:r>
        <w:rPr>
          <w:rFonts w:hint="eastAsia" w:ascii="仿宋_GB2312" w:hAnsi="仿宋_GB2312" w:eastAsia="仿宋_GB2312" w:cs="仿宋_GB2312"/>
          <w:sz w:val="32"/>
          <w:szCs w:val="32"/>
          <w:lang w:val="en-US" w:eastAsia="zh-CN"/>
        </w:rPr>
        <w:t>知识产权</w:t>
      </w:r>
      <w:r>
        <w:rPr>
          <w:rFonts w:hint="eastAsia" w:ascii="仿宋_GB2312" w:hAnsi="仿宋_GB2312" w:eastAsia="仿宋_GB2312" w:cs="仿宋_GB2312"/>
          <w:sz w:val="32"/>
          <w:szCs w:val="32"/>
        </w:rPr>
        <w:t>市场化机构服务专利产业化项目揭榜挂帅申报材料》（附件3），连同证明材料经所在单位审核签字盖章后，按要求报送所在地区市市场监管局。注册地不在青岛的申报主体，可向项目主要服务区域所在地</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场监管局提报。</w:t>
      </w:r>
      <w:r>
        <w:rPr>
          <w:rFonts w:ascii="仿宋_GB2312" w:hAnsi="仿宋_GB2312" w:eastAsia="仿宋_GB2312" w:cs="仿宋_GB2312"/>
          <w:sz w:val="32"/>
          <w:szCs w:val="32"/>
        </w:rPr>
        <w:t xml:space="preserve"> </w:t>
      </w:r>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（二）初审推荐。</w:t>
      </w:r>
      <w:r>
        <w:rPr>
          <w:rFonts w:hint="eastAsia" w:ascii="仿宋_GB2312" w:hAnsi="仿宋_GB2312" w:eastAsia="仿宋_GB2312" w:cs="仿宋_GB2312"/>
          <w:sz w:val="32"/>
          <w:szCs w:val="32"/>
        </w:rPr>
        <w:t>请各区市局组织各方积极参与，遵循公开、公平、公正的原则，对申报材料进行初步审核，根据实际情况和申报条件择优确定推荐对象，并出具《推荐函》（附件4）。《推荐函》和申报材料（附件2、3，电子版一份，纸质件一式三份）经所在区市市场监管局盖章后，于2026年10月28日前报送至市市场监管局。</w:t>
      </w:r>
      <w:r>
        <w:rPr>
          <w:rFonts w:ascii="仿宋_GB2312" w:hAnsi="仿宋_GB2312" w:eastAsia="仿宋_GB2312" w:cs="仿宋_GB2312"/>
          <w:sz w:val="32"/>
          <w:szCs w:val="32"/>
        </w:rPr>
        <w:t xml:space="preserve"> </w:t>
      </w:r>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（三）揭榜评审。</w:t>
      </w:r>
      <w:r>
        <w:rPr>
          <w:rFonts w:hint="eastAsia" w:ascii="仿宋_GB2312" w:hAnsi="仿宋_GB2312" w:eastAsia="仿宋_GB2312" w:cs="仿宋_GB2312"/>
          <w:sz w:val="32"/>
          <w:szCs w:val="32"/>
        </w:rPr>
        <w:t>市市场监管局组织专家或委托第三方专业机构对申报材料进行综合评审，按程序提出入围的揭榜项目及承担单位名单，并向社会公示，公示无异议的，确定为揭榜挂帅项目支持对象。</w:t>
      </w:r>
    </w:p>
    <w:p>
      <w:pPr>
        <w:spacing w:line="56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（四）评榜验收。</w:t>
      </w:r>
      <w:r>
        <w:rPr>
          <w:rFonts w:hint="eastAsia" w:ascii="仿宋_GB2312" w:hAnsi="仿宋_GB2312" w:eastAsia="仿宋_GB2312" w:cs="仿宋_GB2312"/>
          <w:sz w:val="32"/>
          <w:szCs w:val="32"/>
        </w:rPr>
        <w:t>市市场监管局与揭榜单位签订项目合同书，作为项目执行、过程管理、验收评价的依据。榜单项目实施期为1年，任务期结束后，市市场监管局组织专家进行项目评价验收。</w:t>
      </w:r>
    </w:p>
    <w:p>
      <w:pPr>
        <w:spacing w:line="56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四、支持保障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对揭榜重点产业知识产权运营中心建设项目、</w:t>
      </w:r>
      <w:r>
        <w:rPr>
          <w:rFonts w:hint="eastAsia" w:ascii="仿宋_GB2312" w:hAnsi="仿宋_GB2312" w:eastAsia="仿宋_GB2312" w:cs="仿宋_GB2312"/>
          <w:sz w:val="32"/>
          <w:szCs w:val="32"/>
          <w:lang w:val="en-US" w:eastAsia="zh-CN"/>
        </w:rPr>
        <w:t>知识产权</w:t>
      </w:r>
      <w:r>
        <w:rPr>
          <w:rFonts w:hint="eastAsia" w:ascii="仿宋_GB2312" w:hAnsi="仿宋_GB2312" w:eastAsia="仿宋_GB2312" w:cs="仿宋_GB2312"/>
          <w:sz w:val="32"/>
          <w:szCs w:val="32"/>
        </w:rPr>
        <w:t>市场化机构服务专利产业化项目的承担单位，分别给予最高50万元、最高30万元的资金支持。支持资金分两期拨付，先期拨付70%，验收合格后拨付剩余资金，未通过验收的项目给予30个自然日的整改期，整改后复验仍不合格的，</w:t>
      </w:r>
      <w:r>
        <w:rPr>
          <w:rFonts w:hint="eastAsia" w:ascii="仿宋_GB2312" w:hAnsi="仿宋_GB2312" w:eastAsia="仿宋_GB2312" w:cs="仿宋_GB2312"/>
          <w:sz w:val="32"/>
          <w:szCs w:val="32"/>
          <w:lang w:val="en-US" w:eastAsia="zh-CN"/>
        </w:rPr>
        <w:t>收回已拨付资金</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项目开展情况较好、赋能产业发展实施成效显著的，鼓励申报国家级、省级相关项目或平台、载体。对项目实施中的突出成效、典型做法、先进经验和成功模式，加大宣传力度，促进形成有利于项目可持续发展的良好氛围。</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五、工作要求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（一）各区市市场监管局要高度重视本次项目申报工作，做好政策宣传，组织发动辖区内符合条件的单位参加申报，指导申报单位准确、如实填报相关材料，按期推荐报送至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青岛市市场监管局知识产权运用促进处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金宏，逾期不再受理。揭榜挂帅项目确定后，各区市市场监管局要指导揭榜单位如期完成项目任务，结合实际为项目开展提供对接、应用场景等支持保障。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揭榜挂帅项目承坦单位要确保支持资金专款专用，不得用于与项目无关的支出。同时应当配合开展监督检查、绩效评价、审计等工作。对于弄虚作假或者采取不正当手段骗取支持资金的单位，一律取消项目承担资格，收回已</w:t>
      </w:r>
      <w:r>
        <w:rPr>
          <w:rFonts w:hint="eastAsia" w:ascii="仿宋_GB2312" w:hAnsi="仿宋_GB2312" w:eastAsia="仿宋_GB2312" w:cs="仿宋_GB2312"/>
          <w:sz w:val="32"/>
          <w:szCs w:val="32"/>
          <w:lang w:val="en-US" w:eastAsia="zh-CN"/>
        </w:rPr>
        <w:t>拨付</w:t>
      </w:r>
      <w:r>
        <w:rPr>
          <w:rFonts w:hint="eastAsia" w:ascii="仿宋_GB2312" w:hAnsi="仿宋_GB2312" w:eastAsia="仿宋_GB2312" w:cs="仿宋_GB2312"/>
          <w:sz w:val="32"/>
          <w:szCs w:val="32"/>
        </w:rPr>
        <w:t>资金。</w:t>
      </w:r>
    </w:p>
    <w:p>
      <w:pPr>
        <w:pStyle w:val="2"/>
        <w:ind w:left="0" w:firstLine="0" w:firstLineChars="0"/>
      </w:pPr>
      <w:r>
        <w:rPr>
          <w:rFonts w:hint="eastAsia" w:ascii="仿宋_GB2312" w:hAnsi="仿宋_GB2312" w:eastAsia="仿宋_GB2312" w:cs="仿宋_GB2312"/>
          <w:szCs w:val="32"/>
        </w:rPr>
        <w:t xml:space="preserve">    项目联系方式：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王燕，85730590（重点产业知识产权运营中心）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陈佑，85730510（知识产权市场化服务机构）</w:t>
      </w:r>
    </w:p>
    <w:p>
      <w:pPr>
        <w:spacing w:line="560" w:lineRule="exact"/>
        <w:ind w:firstLine="640" w:firstLineChars="200"/>
        <w:rPr>
          <w:rFonts w:ascii="仿宋_GB2312" w:hAnsi="仿宋_GB2312" w:eastAsia="仿宋_GB2312" w:cs="仿宋_GB2312"/>
          <w:sz w:val="32"/>
          <w:szCs w:val="32"/>
        </w:rPr>
      </w:pPr>
    </w:p>
    <w:p>
      <w:pPr>
        <w:spacing w:line="560" w:lineRule="exact"/>
        <w:ind w:left="1880" w:leftChars="240" w:hanging="1376" w:hangingChars="430"/>
        <w:rPr>
          <w:rFonts w:ascii="仿宋_GB2312" w:hAnsi="仿宋_GB2312" w:eastAsia="仿宋_GB2312" w:cs="仿宋_GB2312"/>
          <w:sz w:val="32"/>
          <w:szCs w:val="32"/>
        </w:rPr>
      </w:pPr>
      <w:r>
        <w:rPr>
          <w:rFonts w:hint="eastAsia" w:ascii="仿宋_GB2312" w:hAnsi="仿宋_GB2312" w:eastAsia="仿宋_GB2312" w:cs="仿宋_GB2312"/>
          <w:sz w:val="32"/>
          <w:szCs w:val="32"/>
        </w:rPr>
        <w:t>附件：1.青岛市知识产权赋能产业高质量发展任务揭榜挂帅申报指南</w:t>
      </w:r>
    </w:p>
    <w:p>
      <w:pPr>
        <w:spacing w:line="560" w:lineRule="exact"/>
        <w:ind w:firstLine="1478" w:firstLineChars="46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2.青岛市重点产业知识产权运营中心建设项目揭榜挂</w:t>
      </w:r>
    </w:p>
    <w:p>
      <w:pPr>
        <w:spacing w:line="560" w:lineRule="exact"/>
        <w:ind w:firstLine="1478" w:firstLineChars="46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帅申报材料</w:t>
      </w:r>
    </w:p>
    <w:p>
      <w:pPr>
        <w:spacing w:line="560" w:lineRule="exact"/>
        <w:ind w:firstLine="1478" w:firstLineChars="46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3.青岛市知识产权市场化机构服务专利产业化项目揭</w:t>
      </w:r>
    </w:p>
    <w:p>
      <w:pPr>
        <w:spacing w:line="560" w:lineRule="exact"/>
        <w:ind w:firstLine="1478" w:firstLineChars="46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榜挂帅申报材料</w:t>
      </w:r>
    </w:p>
    <w:p>
      <w:pPr>
        <w:spacing w:line="560" w:lineRule="exact"/>
        <w:ind w:firstLine="1478" w:firstLineChars="462"/>
        <w:rPr>
          <w:rFonts w:ascii="仿宋_GB2312" w:hAnsi="仿宋_GB2312" w:eastAsia="仿宋_GB2312" w:cs="仿宋_GB2312"/>
          <w:sz w:val="32"/>
          <w:szCs w:val="32"/>
        </w:rPr>
      </w:pPr>
      <w:r>
        <w:rPr>
          <w:rFonts w:hint="eastAsia" w:ascii="仿宋_GB2312" w:hAnsi="仿宋_GB2312" w:eastAsia="仿宋_GB2312" w:cs="仿宋_GB2312"/>
          <w:sz w:val="32"/>
          <w:szCs w:val="32"/>
        </w:rPr>
        <w:t>4.推荐函</w:t>
      </w:r>
    </w:p>
    <w:p>
      <w:pPr>
        <w:spacing w:line="560" w:lineRule="exact"/>
        <w:jc w:val="right"/>
        <w:rPr>
          <w:rFonts w:ascii="仿宋_GB2312" w:hAnsi="仿宋_GB2312" w:eastAsia="仿宋_GB2312" w:cs="仿宋_GB2312"/>
          <w:sz w:val="32"/>
          <w:szCs w:val="32"/>
        </w:rPr>
      </w:pPr>
    </w:p>
    <w:p>
      <w:pPr>
        <w:pStyle w:val="2"/>
      </w:pPr>
    </w:p>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青岛市市场监督管理局</w:t>
      </w:r>
    </w:p>
    <w:p>
      <w:pPr>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2026年10月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0" w:name="_GoBack"/>
    <w:bookmarkEnd w:id="0"/>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path/>
          <v:fill on="f" focussize="0,0"/>
          <v:stroke on="f" weight="0.5pt" joinstyle="miter"/>
          <v:imagedata o:title=""/>
          <o:lock v:ext="edit"/>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D3D4C22"/>
    <w:rsid w:val="00035971"/>
    <w:rsid w:val="000D70DD"/>
    <w:rsid w:val="0010194E"/>
    <w:rsid w:val="001476A4"/>
    <w:rsid w:val="0018599A"/>
    <w:rsid w:val="001A3908"/>
    <w:rsid w:val="001E0569"/>
    <w:rsid w:val="001F3184"/>
    <w:rsid w:val="00297268"/>
    <w:rsid w:val="002A2D7F"/>
    <w:rsid w:val="002C0AA0"/>
    <w:rsid w:val="00313942"/>
    <w:rsid w:val="00323E9E"/>
    <w:rsid w:val="00324535"/>
    <w:rsid w:val="00345BDF"/>
    <w:rsid w:val="003B04D9"/>
    <w:rsid w:val="003C3262"/>
    <w:rsid w:val="003C57C8"/>
    <w:rsid w:val="00533AC2"/>
    <w:rsid w:val="00546975"/>
    <w:rsid w:val="00553AE5"/>
    <w:rsid w:val="005E18BB"/>
    <w:rsid w:val="00657ED2"/>
    <w:rsid w:val="006656A2"/>
    <w:rsid w:val="00692E0B"/>
    <w:rsid w:val="006A067D"/>
    <w:rsid w:val="006A5522"/>
    <w:rsid w:val="006E6EE4"/>
    <w:rsid w:val="00700610"/>
    <w:rsid w:val="00775F1E"/>
    <w:rsid w:val="007A5034"/>
    <w:rsid w:val="00811534"/>
    <w:rsid w:val="00846401"/>
    <w:rsid w:val="00865A6E"/>
    <w:rsid w:val="0088525A"/>
    <w:rsid w:val="00885989"/>
    <w:rsid w:val="008A3478"/>
    <w:rsid w:val="0092374A"/>
    <w:rsid w:val="009829EF"/>
    <w:rsid w:val="009E0F7A"/>
    <w:rsid w:val="00A15E22"/>
    <w:rsid w:val="00A24E46"/>
    <w:rsid w:val="00A26057"/>
    <w:rsid w:val="00A34443"/>
    <w:rsid w:val="00A6157C"/>
    <w:rsid w:val="00A61999"/>
    <w:rsid w:val="00AF3866"/>
    <w:rsid w:val="00B01BA5"/>
    <w:rsid w:val="00B07382"/>
    <w:rsid w:val="00B33C84"/>
    <w:rsid w:val="00B75ED1"/>
    <w:rsid w:val="00BD6F90"/>
    <w:rsid w:val="00C410FC"/>
    <w:rsid w:val="00C457FA"/>
    <w:rsid w:val="00CE2AA4"/>
    <w:rsid w:val="00D42488"/>
    <w:rsid w:val="00DF30F2"/>
    <w:rsid w:val="00E95EF6"/>
    <w:rsid w:val="00F26E6D"/>
    <w:rsid w:val="00FA5C0D"/>
    <w:rsid w:val="07941A73"/>
    <w:rsid w:val="0A437643"/>
    <w:rsid w:val="0D3D4C22"/>
    <w:rsid w:val="1E3F6DE9"/>
    <w:rsid w:val="28D5110C"/>
    <w:rsid w:val="33BF1178"/>
    <w:rsid w:val="4DD255A5"/>
    <w:rsid w:val="71F07B8F"/>
    <w:rsid w:val="71F62D8E"/>
    <w:rsid w:val="7B56CBFB"/>
    <w:rsid w:val="7F480EBF"/>
    <w:rsid w:val="89F7F3C7"/>
    <w:rsid w:val="FC6F33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left="200" w:firstLine="420" w:firstLineChars="200"/>
    </w:pPr>
    <w:rPr>
      <w:rFonts w:ascii="Times New Roman" w:hAnsi="宋体" w:eastAsia="宋体"/>
    </w:rPr>
  </w:style>
  <w:style w:type="paragraph" w:styleId="3">
    <w:name w:val="Body Text Indent"/>
    <w:basedOn w:val="1"/>
    <w:qFormat/>
    <w:uiPriority w:val="0"/>
    <w:pPr>
      <w:spacing w:line="560" w:lineRule="exact"/>
      <w:ind w:firstLine="555"/>
    </w:pPr>
    <w:rPr>
      <w:rFonts w:ascii="仿宋_GB2312" w:eastAsia="仿宋_GB2312"/>
      <w:color w:val="000000"/>
      <w:sz w:val="32"/>
    </w:rPr>
  </w:style>
  <w:style w:type="paragraph" w:styleId="5">
    <w:name w:val="Body Text Indent 2"/>
    <w:basedOn w:val="1"/>
    <w:qFormat/>
    <w:uiPriority w:val="0"/>
    <w:pPr>
      <w:spacing w:after="120" w:line="480" w:lineRule="auto"/>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10">
    <w:name w:val="标题 1 Char"/>
    <w:basedOn w:val="9"/>
    <w:link w:val="4"/>
    <w:qFormat/>
    <w:uiPriority w:val="9"/>
    <w:rPr>
      <w:rFonts w:ascii="宋体" w:hAnsi="宋体" w:eastAsia="宋体" w:cs="宋体"/>
      <w:b/>
      <w:bCs/>
      <w:kern w:val="36"/>
      <w:sz w:val="48"/>
      <w:szCs w:val="4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2110</Words>
  <Characters>2158</Characters>
  <Lines>15</Lines>
  <Paragraphs>4</Paragraphs>
  <TotalTime>40</TotalTime>
  <ScaleCrop>false</ScaleCrop>
  <LinksUpToDate>false</LinksUpToDate>
  <CharactersWithSpaces>2202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2026-09-22T09:09:00Z</dcterms:created>
  <dc:creator>王燕</dc:creator>
  <cp:lastModifiedBy>清风徐来</cp:lastModifiedBy>
  <dcterms:modified xsi:type="dcterms:W3CDTF">2026-10-15T09:19:46Z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C0078560EAE6845F272CB26A27C05272_43</vt:lpwstr>
  </property>
  <property fmtid="{D5CDD505-2E9C-101B-9397-08002B2CF9AE}" pid="4" name="KSOTemplateDocerSaveRecord">
    <vt:lpwstr>eyJoZGlkIjoiOWY5OTU0YmY3MDg5NDYwN2VkOTQ1Y2FlNTkzZjVhZjYiLCJ1c2VySWQiOiI0MzkwNDI0NjIifQ==</vt:lpwstr>
  </property>
</Properties>
</file>