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0B18E">
      <w:pPr>
        <w:spacing w:line="560" w:lineRule="exact"/>
        <w:ind w:left="320" w:hanging="320" w:hangingChars="100"/>
        <w:jc w:val="left"/>
        <w:rPr>
          <w:rFonts w:hint="eastAsia" w:ascii="黑体" w:hAnsi="黑体" w:eastAsia="黑体" w:cs="方正小标宋_GBK"/>
          <w:color w:val="auto"/>
          <w:sz w:val="32"/>
          <w:szCs w:val="32"/>
          <w:lang w:eastAsia="zh-CN"/>
        </w:rPr>
      </w:pPr>
      <w:r>
        <w:rPr>
          <w:rFonts w:hint="eastAsia" w:ascii="黑体" w:hAnsi="黑体" w:eastAsia="黑体" w:cs="方正小标宋_GBK"/>
          <w:color w:val="auto"/>
          <w:sz w:val="32"/>
          <w:szCs w:val="32"/>
        </w:rPr>
        <w:t>附件</w:t>
      </w:r>
      <w:r>
        <w:rPr>
          <w:rFonts w:hint="eastAsia" w:ascii="黑体" w:hAnsi="黑体" w:eastAsia="黑体" w:cs="方正小标宋_GBK"/>
          <w:color w:val="auto"/>
          <w:sz w:val="32"/>
          <w:szCs w:val="32"/>
          <w:lang w:val="en-US" w:eastAsia="zh-CN"/>
        </w:rPr>
        <w:t>1</w:t>
      </w:r>
    </w:p>
    <w:p w14:paraId="132EE45D">
      <w:pPr>
        <w:spacing w:line="560" w:lineRule="exact"/>
        <w:ind w:left="280" w:hanging="280" w:hangingChars="100"/>
        <w:jc w:val="left"/>
        <w:rPr>
          <w:rFonts w:hint="eastAsia" w:ascii="方正小标宋_GBK" w:hAnsi="方正小标宋_GBK" w:eastAsia="方正小标宋_GBK" w:cs="方正小标宋_GBK"/>
          <w:color w:val="auto"/>
          <w:sz w:val="28"/>
          <w:szCs w:val="28"/>
        </w:rPr>
      </w:pPr>
    </w:p>
    <w:p w14:paraId="3AE189BB">
      <w:pPr>
        <w:spacing w:line="560" w:lineRule="exact"/>
        <w:ind w:left="440" w:hanging="440" w:hangingChars="100"/>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青岛市知识产权赋能产业高质量发展任务</w:t>
      </w:r>
    </w:p>
    <w:p w14:paraId="72055569">
      <w:pPr>
        <w:spacing w:line="560" w:lineRule="exact"/>
        <w:ind w:left="440" w:hanging="440" w:hangingChars="100"/>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揭榜挂帅申报指南</w:t>
      </w:r>
    </w:p>
    <w:p w14:paraId="49B2D669">
      <w:pPr>
        <w:spacing w:line="560" w:lineRule="exact"/>
        <w:rPr>
          <w:rFonts w:ascii="仿宋_GB2312" w:hAnsi="仿宋_GB2312" w:eastAsia="仿宋_GB2312" w:cs="仿宋_GB2312"/>
          <w:color w:val="auto"/>
          <w:sz w:val="32"/>
          <w:szCs w:val="32"/>
        </w:rPr>
      </w:pPr>
    </w:p>
    <w:p w14:paraId="73F23AD7">
      <w:pPr>
        <w:numPr>
          <w:ilvl w:val="0"/>
          <w:numId w:val="1"/>
        </w:numPr>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重点产业知识产权运营中心建设项目</w:t>
      </w:r>
    </w:p>
    <w:p w14:paraId="0419326E">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（一）揭榜条件</w:t>
      </w:r>
    </w:p>
    <w:p w14:paraId="358E11E0">
      <w:pPr>
        <w:spacing w:line="560" w:lineRule="exact"/>
        <w:ind w:firstLine="640" w:firstLineChars="200"/>
        <w:rPr>
          <w:rFonts w:ascii="楷体_GB2312" w:hAnsi="楷体_GB2312" w:eastAsia="楷体_GB2312" w:cs="楷体_GB2312"/>
          <w:color w:val="auto"/>
          <w:sz w:val="32"/>
          <w:szCs w:val="32"/>
        </w:rPr>
      </w:pPr>
      <w:r>
        <w:rPr>
          <w:rFonts w:hint="eastAsia" w:ascii="仿宋_GB2312" w:hAnsi="仿宋_GB2312" w:eastAsia="仿宋_GB2312" w:cs="仿宋_GB2312"/>
          <w:color w:val="auto"/>
          <w:sz w:val="32"/>
          <w:szCs w:val="32"/>
        </w:rPr>
        <w:t>揭榜申报重点产业知识产权运营中心建设项目的，应当具备以下条件：</w:t>
      </w:r>
    </w:p>
    <w:p w14:paraId="3B5A0850">
      <w:pPr>
        <w:tabs>
          <w:tab w:val="left" w:pos="1260"/>
        </w:tabs>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1.申报主体</w:t>
      </w:r>
    </w:p>
    <w:p w14:paraId="5D7F83C2">
      <w:pPr>
        <w:tabs>
          <w:tab w:val="left" w:pos="1260"/>
        </w:tabs>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一般应为属于青岛市“10+1”</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创新型产业发展方向的企业、科研能力突出的科研院所、重点产业集聚的省级及以上产业园区或行业协会等，并且在全市、全省乃至全国具有突出的行业影响力、服务创新能力和知识产权运营优势，能够引领带动产业链上下游各类主体协同发展。</w:t>
      </w:r>
    </w:p>
    <w:p w14:paraId="53484F0B">
      <w:pPr>
        <w:tabs>
          <w:tab w:val="left" w:pos="1260"/>
        </w:tabs>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鼓励与高校、科研组织、产业链企业、知识产权服务机构、科技成果转化服务机构、检验检测机构、社会组织和其他有关单位联合申报，提升建设效能。多主体联合申报的，应确定1家单位作为申报牵头单位，联合申报主体不超过3家，且不得多头联合申报。联合申报单位应具备与建设主体形成资源整合与优势互补的基础条件，能有效促进协作机制优化及能力建设。</w:t>
      </w:r>
    </w:p>
    <w:p w14:paraId="0709D55F">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主体近3年未被列入国家、省、市失信联合惩戒名单，在申报和承担财政支持项目中无不良信用记录。符合财政涉企资金“绿色门槛”制度要求。已承担国家级产业知识产权运营中心建设项目的单位，原则上不再重复申报。</w:t>
      </w:r>
    </w:p>
    <w:p w14:paraId="70C0FEC1">
      <w:pPr>
        <w:tabs>
          <w:tab w:val="left" w:pos="1260"/>
        </w:tabs>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2.条件保障</w:t>
      </w:r>
    </w:p>
    <w:p w14:paraId="473160E0">
      <w:pPr>
        <w:tabs>
          <w:tab w:val="left" w:pos="1260"/>
        </w:tabs>
        <w:spacing w:line="56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申报（牵头）主体应具备以下工作基础：</w:t>
      </w:r>
    </w:p>
    <w:p w14:paraId="5776AAD0">
      <w:pPr>
        <w:tabs>
          <w:tab w:val="left" w:pos="1260"/>
        </w:tabs>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①具有承担产业知识产权运营中心建设日常业务运行的独立法人实体或者明确专门职责的内设机构，且具有独立开展建设业务的固定工作场地和相关软硬件基础设施</w:t>
      </w:r>
      <w:r>
        <w:rPr>
          <w:rFonts w:hint="eastAsia" w:ascii="仿宋_GB2312" w:hAnsi="仿宋_GB2312" w:eastAsia="仿宋_GB2312" w:cs="仿宋_GB2312"/>
          <w:color w:val="auto"/>
          <w:sz w:val="32"/>
          <w:szCs w:val="32"/>
          <w:lang w:eastAsia="zh-CN"/>
        </w:rPr>
        <w:t>。</w:t>
      </w:r>
    </w:p>
    <w:p w14:paraId="49609A34">
      <w:pPr>
        <w:tabs>
          <w:tab w:val="left" w:pos="1260"/>
        </w:tabs>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②拥有必要的工作经费保障，明确申报的产业方向，且具备相应的建设方案、工作机制和规章制度，能够持续稳定提供运营服务。联合申报的，还应在建设方案和工作制度中明确各自分工和管理机制</w:t>
      </w:r>
      <w:r>
        <w:rPr>
          <w:rFonts w:hint="eastAsia" w:ascii="仿宋_GB2312" w:hAnsi="仿宋_GB2312" w:eastAsia="仿宋_GB2312" w:cs="仿宋_GB2312"/>
          <w:color w:val="auto"/>
          <w:sz w:val="32"/>
          <w:szCs w:val="32"/>
          <w:lang w:eastAsia="zh-CN"/>
        </w:rPr>
        <w:t>。</w:t>
      </w:r>
    </w:p>
    <w:p w14:paraId="2A61E69F">
      <w:pPr>
        <w:tabs>
          <w:tab w:val="left" w:pos="1260"/>
        </w:tabs>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③拥有具备知识产权运营工作能力且相对稳定的运营团队，明确项目负责人，团队中属于申报（牵头）主体的工作人员不少于3人。同时，运营团队应培养、吸纳熟悉产业发展、专利申请、知识产权分析评议、科技成果转化、知识产权金融等业务的专业人才参与运营</w:t>
      </w:r>
      <w:r>
        <w:rPr>
          <w:rFonts w:hint="eastAsia" w:ascii="仿宋_GB2312" w:hAnsi="仿宋_GB2312" w:eastAsia="仿宋_GB2312" w:cs="仿宋_GB2312"/>
          <w:color w:val="auto"/>
          <w:sz w:val="32"/>
          <w:szCs w:val="32"/>
          <w:lang w:eastAsia="zh-CN"/>
        </w:rPr>
        <w:t>。</w:t>
      </w:r>
    </w:p>
    <w:p w14:paraId="315D7A79">
      <w:pPr>
        <w:tabs>
          <w:tab w:val="left" w:pos="1260"/>
        </w:tabs>
        <w:spacing w:line="56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④申报主体具备良好的知识产权创造和运营基础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申报单位</w:t>
      </w:r>
      <w:r>
        <w:rPr>
          <w:rFonts w:hint="eastAsia" w:ascii="仿宋_GB2312" w:hAnsi="仿宋_GB2312" w:eastAsia="仿宋_GB2312" w:cs="仿宋_GB2312"/>
          <w:color w:val="auto"/>
          <w:sz w:val="32"/>
          <w:szCs w:val="32"/>
          <w:lang w:val="en-US" w:eastAsia="zh-CN"/>
        </w:rPr>
        <w:t>应拥有一定数量本产业领域的</w:t>
      </w:r>
      <w:r>
        <w:rPr>
          <w:rFonts w:hint="eastAsia" w:ascii="仿宋_GB2312" w:hAnsi="仿宋_GB2312" w:eastAsia="仿宋_GB2312" w:cs="仿宋_GB2312"/>
          <w:color w:val="auto"/>
          <w:sz w:val="32"/>
          <w:szCs w:val="32"/>
        </w:rPr>
        <w:t>有效发明专利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有成熟的专利运营案例、许可转化收入、知识产权维权成功案例。</w:t>
      </w:r>
    </w:p>
    <w:p w14:paraId="3E152DF5">
      <w:pPr>
        <w:tabs>
          <w:tab w:val="left" w:pos="1260"/>
        </w:tabs>
        <w:spacing w:line="560" w:lineRule="exact"/>
        <w:ind w:firstLine="640"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（二）揭榜任务</w:t>
      </w:r>
    </w:p>
    <w:p w14:paraId="53DC7F61">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申报建设主体应当自项目获批之日起</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年内开展以下工作，并取得积极成效：</w:t>
      </w:r>
    </w:p>
    <w:p w14:paraId="57352C63">
      <w:pPr>
        <w:tabs>
          <w:tab w:val="left" w:pos="1260"/>
        </w:tabs>
        <w:spacing w:line="560" w:lineRule="exact"/>
        <w:ind w:firstLine="643"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1.促进产业知识产权协同发展。</w:t>
      </w:r>
      <w:r>
        <w:rPr>
          <w:rFonts w:hint="eastAsia" w:ascii="仿宋_GB2312" w:hAnsi="仿宋_GB2312" w:eastAsia="仿宋_GB2312" w:cs="仿宋_GB2312"/>
          <w:bCs/>
          <w:color w:val="auto"/>
          <w:sz w:val="32"/>
          <w:szCs w:val="32"/>
        </w:rPr>
        <w:t>根据产业发展和竞争态势，结合产业创新合作共性需求，组织</w:t>
      </w:r>
      <w:r>
        <w:rPr>
          <w:rFonts w:hint="eastAsia" w:ascii="仿宋_GB2312" w:hAnsi="仿宋_GB2312" w:eastAsia="仿宋_GB2312" w:cs="仿宋_GB2312"/>
          <w:color w:val="auto"/>
          <w:sz w:val="32"/>
          <w:szCs w:val="32"/>
        </w:rPr>
        <w:t>产业链上下游各类主体，通过组建产业知识产权创新联合体、知识产权联盟等形式，建立完善以知识产权为纽带的协同创新机制和权益分享机制，推动产业知识产权联合创造、协同运用、共同保护和集成管理，提高关键核心技术和共性技术的攻关效率与专利布局质量。构建市场化运行的重点产业专利池，通过内部交叉许可、统一对外许可等运营模式，降低专利许可交易和技术推广成本，促进产业有序竞争、协同发展。辐射带动产业链重点企业、高校和科研机构不少于12家</w:t>
      </w:r>
      <w:r>
        <w:rPr>
          <w:rFonts w:hint="eastAsia" w:ascii="仿宋_GB2312" w:hAnsi="仿宋_GB2312" w:eastAsia="仿宋_GB2312" w:cs="仿宋_GB2312"/>
          <w:color w:val="auto"/>
          <w:sz w:val="32"/>
          <w:szCs w:val="32"/>
          <w:lang w:eastAsia="zh-CN"/>
        </w:rPr>
        <w:t>。</w:t>
      </w:r>
    </w:p>
    <w:p w14:paraId="7C2E832C">
      <w:pPr>
        <w:tabs>
          <w:tab w:val="left" w:pos="1260"/>
        </w:tabs>
        <w:spacing w:line="560" w:lineRule="exact"/>
        <w:ind w:firstLine="643"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2.推动知识产权转化运营。</w:t>
      </w:r>
      <w:r>
        <w:rPr>
          <w:rFonts w:ascii="仿宋_GB2312" w:hAnsi="仿宋_GB2312" w:eastAsia="仿宋_GB2312" w:cs="仿宋_GB2312"/>
          <w:color w:val="auto"/>
          <w:sz w:val="32"/>
          <w:szCs w:val="32"/>
        </w:rPr>
        <w:t>组织产业链上下游及产业链之间通过知识产权转让、许可、作价入股、投融资等方式开展转化运营，实现链上转化运营金额不低于200万元，或组织实施转化项目累计不少于5个；专利开放许可声明不少于10项；新增战略性新兴产业领域发明专利授权不少于</w:t>
      </w:r>
      <w:r>
        <w:rPr>
          <w:rFonts w:hint="eastAsia" w:ascii="仿宋_GB2312" w:hAnsi="仿宋_GB2312" w:eastAsia="仿宋_GB2312" w:cs="仿宋_GB2312"/>
          <w:color w:val="auto"/>
          <w:sz w:val="32"/>
          <w:szCs w:val="32"/>
          <w:lang w:val="en-US" w:eastAsia="zh-CN"/>
        </w:rPr>
        <w:t>50</w:t>
      </w:r>
      <w:bookmarkStart w:id="0" w:name="_GoBack"/>
      <w:bookmarkEnd w:id="0"/>
      <w:r>
        <w:rPr>
          <w:rFonts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战略性新兴产业领域发明专利指专利主分类号符合国家知识产权局公布的战略性新兴产业分类对应的国际专利分类号</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w:t>
      </w:r>
    </w:p>
    <w:p w14:paraId="177BC96F">
      <w:pPr>
        <w:tabs>
          <w:tab w:val="left" w:pos="1260"/>
        </w:tabs>
        <w:spacing w:line="560" w:lineRule="exact"/>
        <w:ind w:firstLine="643" w:firstLineChars="200"/>
        <w:rPr>
          <w:rFonts w:ascii="仿宋_GB2312" w:hAnsi="仿宋_GB2312" w:eastAsia="仿宋_GB2312" w:cs="仿宋_GB2312"/>
          <w:color w:val="auto"/>
          <w:sz w:val="32"/>
          <w:szCs w:val="32"/>
        </w:rPr>
      </w:pPr>
      <w:r>
        <w:rPr>
          <w:rFonts w:ascii="仿宋_GB2312" w:hAnsi="仿宋_GB2312" w:eastAsia="仿宋_GB2312" w:cs="仿宋_GB2312"/>
          <w:b/>
          <w:bCs/>
          <w:color w:val="auto"/>
          <w:sz w:val="32"/>
          <w:szCs w:val="32"/>
        </w:rPr>
        <w:t>3.深化产学研知识产权交流合作。</w:t>
      </w:r>
      <w:r>
        <w:rPr>
          <w:rFonts w:ascii="仿宋_GB2312" w:hAnsi="仿宋_GB2312" w:eastAsia="仿宋_GB2312" w:cs="仿宋_GB2312"/>
          <w:color w:val="auto"/>
          <w:sz w:val="32"/>
          <w:szCs w:val="32"/>
        </w:rPr>
        <w:t>及时收集梳理产业知识产权需求，动态挖掘本领域高价值专利，适时向产业链相关主体推送。常态化举办产学研交流活动，综合利用线上线下平台，动态发布产业知识产权供给和需求信息，以及知识产权产业化资金、场地、合作等内容，组织开展校地企合作、人才交流等活动。组织产业链上企业在国家专利导航综合服务平台订阅、收藏待转化专利</w:t>
      </w:r>
      <w:r>
        <w:rPr>
          <w:rFonts w:hint="eastAsia" w:ascii="仿宋_GB2312" w:hAnsi="仿宋_GB2312" w:eastAsia="仿宋_GB2312" w:cs="仿宋_GB2312"/>
          <w:color w:val="auto"/>
          <w:sz w:val="32"/>
          <w:szCs w:val="32"/>
          <w:lang w:val="en-US" w:eastAsia="zh-CN"/>
        </w:rPr>
        <w:t>不少于</w:t>
      </w:r>
      <w:r>
        <w:rPr>
          <w:rFonts w:ascii="仿宋_GB2312" w:hAnsi="仿宋_GB2312" w:eastAsia="仿宋_GB2312" w:cs="仿宋_GB2312"/>
          <w:color w:val="auto"/>
          <w:sz w:val="32"/>
          <w:szCs w:val="32"/>
        </w:rPr>
        <w:t>50条；组织不少于5家企业</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利用青岛市知识产权运营服务平台开展专利运用与信息对接。</w:t>
      </w:r>
    </w:p>
    <w:p w14:paraId="4FB8D571">
      <w:pPr>
        <w:tabs>
          <w:tab w:val="left" w:pos="1260"/>
        </w:tabs>
        <w:spacing w:line="560" w:lineRule="exact"/>
        <w:ind w:firstLine="643" w:firstLineChars="200"/>
        <w:rPr>
          <w:rFonts w:ascii="仿宋_GB2312" w:hAnsi="仿宋_GB2312" w:eastAsia="仿宋_GB2312" w:cs="仿宋_GB2312"/>
          <w:color w:val="auto"/>
          <w:sz w:val="32"/>
          <w:szCs w:val="32"/>
        </w:rPr>
      </w:pPr>
      <w:r>
        <w:rPr>
          <w:rFonts w:ascii="仿宋_GB2312" w:hAnsi="仿宋_GB2312" w:eastAsia="仿宋_GB2312" w:cs="仿宋_GB2312"/>
          <w:b/>
          <w:bCs/>
          <w:color w:val="auto"/>
          <w:sz w:val="32"/>
          <w:szCs w:val="32"/>
        </w:rPr>
        <w:t>4.强化重点项目转化对接与专业服务。</w:t>
      </w:r>
      <w:r>
        <w:rPr>
          <w:rFonts w:ascii="仿宋_GB2312" w:hAnsi="仿宋_GB2312" w:eastAsia="仿宋_GB2312" w:cs="仿宋_GB2312"/>
          <w:color w:val="auto"/>
          <w:sz w:val="32"/>
          <w:szCs w:val="32"/>
        </w:rPr>
        <w:t>精准开展重点项目专利技术筛选评价、供需对接、路演推介、交易撮合</w:t>
      </w:r>
      <w:r>
        <w:rPr>
          <w:rFonts w:hint="eastAsia" w:ascii="仿宋_GB2312" w:hAnsi="仿宋_GB2312" w:eastAsia="仿宋_GB2312" w:cs="仿宋_GB2312"/>
          <w:color w:val="auto"/>
          <w:sz w:val="32"/>
          <w:szCs w:val="32"/>
        </w:rPr>
        <w:t>、投融资</w:t>
      </w:r>
      <w:r>
        <w:rPr>
          <w:rFonts w:ascii="仿宋_GB2312" w:hAnsi="仿宋_GB2312" w:eastAsia="仿宋_GB2312" w:cs="仿宋_GB2312"/>
          <w:color w:val="auto"/>
          <w:sz w:val="32"/>
          <w:szCs w:val="32"/>
        </w:rPr>
        <w:t>等活动不少于3场次，指导或参与商务谈判、相关协议、合同等法律文书拟制，全程做好转化项目跟踪和服务。开展专利信息分析、专利导航、分析评议、价值评估、专利与标准协同、产品出口前知识产权风险预警排查、供应链合规排查等专业化服务不少于3件次；服务产业链上重点企业、高校院所等不少于10家。</w:t>
      </w:r>
    </w:p>
    <w:p w14:paraId="343A1695">
      <w:pPr>
        <w:tabs>
          <w:tab w:val="left" w:pos="1260"/>
        </w:tabs>
        <w:spacing w:line="560" w:lineRule="exact"/>
        <w:ind w:firstLine="643" w:firstLineChars="200"/>
        <w:rPr>
          <w:rFonts w:hint="eastAsia" w:ascii="仿宋_GB2312" w:hAnsi="仿宋_GB2312" w:eastAsia="仿宋_GB2312" w:cs="仿宋_GB2312"/>
          <w:color w:val="auto"/>
          <w:sz w:val="32"/>
          <w:szCs w:val="32"/>
        </w:rPr>
      </w:pPr>
      <w:r>
        <w:rPr>
          <w:rFonts w:ascii="仿宋_GB2312" w:hAnsi="仿宋_GB2312" w:eastAsia="仿宋_GB2312" w:cs="仿宋_GB2312"/>
          <w:b/>
          <w:bCs/>
          <w:color w:val="auto"/>
          <w:sz w:val="32"/>
          <w:szCs w:val="32"/>
        </w:rPr>
        <w:t>5.加快专利产业化进程。</w:t>
      </w:r>
      <w:r>
        <w:rPr>
          <w:rFonts w:ascii="仿宋_GB2312" w:hAnsi="仿宋_GB2312" w:eastAsia="仿宋_GB2312" w:cs="仿宋_GB2312"/>
          <w:color w:val="auto"/>
          <w:sz w:val="32"/>
          <w:szCs w:val="32"/>
        </w:rPr>
        <w:t>积极落实专利转化运用专项行动重点任务，在梳理盘活高校和科研机构存量专利等工作中发挥突出作用，并形成推动高校和科研机构存量及增量专利持续转化或产业化的良好运行机制。推动实施产业链专利产业化项目，专利密集型产品备案不少于2件次。</w:t>
      </w:r>
    </w:p>
    <w:p w14:paraId="726866DC">
      <w:pPr>
        <w:tabs>
          <w:tab w:val="left" w:pos="1260"/>
        </w:tabs>
        <w:spacing w:line="560" w:lineRule="exact"/>
        <w:ind w:firstLine="640" w:firstLineChars="200"/>
        <w:rPr>
          <w:rFonts w:ascii="黑体" w:hAnsi="黑体" w:eastAsia="黑体" w:cs="仿宋_GB2312"/>
          <w:color w:val="auto"/>
          <w:sz w:val="32"/>
          <w:szCs w:val="32"/>
        </w:rPr>
      </w:pPr>
      <w:r>
        <w:rPr>
          <w:rFonts w:hint="eastAsia" w:ascii="黑体" w:hAnsi="黑体" w:eastAsia="黑体" w:cs="仿宋_GB2312"/>
          <w:color w:val="auto"/>
          <w:sz w:val="32"/>
          <w:szCs w:val="32"/>
        </w:rPr>
        <w:t>二、知识产权市场化机构服务专利产业化项目</w:t>
      </w:r>
    </w:p>
    <w:p w14:paraId="475A4C92">
      <w:pPr>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（一）揭榜条件</w:t>
      </w:r>
    </w:p>
    <w:p w14:paraId="597DF3B7">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揭榜申报知识产权市场化机构服务专利产业化项目的，应当具备以下条件：</w:t>
      </w:r>
    </w:p>
    <w:p w14:paraId="1D446FE8">
      <w:pPr>
        <w:pStyle w:val="6"/>
        <w:widowControl/>
        <w:shd w:val="clear" w:color="auto" w:fill="FFFFFF"/>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1.依法注册的知识产权市场化服务机构</w:t>
      </w:r>
      <w:r>
        <w:rPr>
          <w:rFonts w:hint="eastAsia" w:ascii="仿宋_GB2312" w:hAnsi="仿宋_GB2312" w:eastAsia="仿宋_GB2312" w:cs="仿宋_GB2312"/>
          <w:color w:val="auto"/>
          <w:sz w:val="32"/>
          <w:szCs w:val="32"/>
          <w:lang w:eastAsia="zh-CN"/>
        </w:rPr>
        <w:t>。</w:t>
      </w:r>
    </w:p>
    <w:p w14:paraId="3D1864F2">
      <w:pPr>
        <w:pStyle w:val="6"/>
        <w:widowControl/>
        <w:shd w:val="clear" w:color="auto" w:fill="FFFFFF"/>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2.有能够支撑开展专利产业化相关业务的工作团队、数据资源等基础条件，其中，</w:t>
      </w:r>
      <w:r>
        <w:rPr>
          <w:rFonts w:ascii="仿宋_GB2312" w:hAnsi="仿宋_GB2312" w:eastAsia="仿宋_GB2312" w:cs="仿宋_GB2312"/>
          <w:color w:val="auto"/>
          <w:sz w:val="32"/>
          <w:szCs w:val="32"/>
        </w:rPr>
        <w:t>具有专利代理师、知识产权师</w:t>
      </w:r>
      <w:r>
        <w:rPr>
          <w:rFonts w:hint="eastAsia" w:ascii="仿宋_GB2312" w:hAnsi="仿宋_GB2312" w:eastAsia="仿宋_GB2312" w:cs="仿宋_GB2312"/>
          <w:color w:val="auto"/>
          <w:sz w:val="32"/>
          <w:szCs w:val="32"/>
        </w:rPr>
        <w:t>、技术经理人</w:t>
      </w:r>
      <w:r>
        <w:rPr>
          <w:rFonts w:ascii="仿宋_GB2312" w:hAnsi="仿宋_GB2312" w:eastAsia="仿宋_GB2312" w:cs="仿宋_GB2312"/>
          <w:color w:val="auto"/>
          <w:sz w:val="32"/>
          <w:szCs w:val="32"/>
        </w:rPr>
        <w:t>等职业资格的人员不少于</w:t>
      </w:r>
      <w:r>
        <w:rPr>
          <w:rFonts w:hint="eastAsia" w:ascii="仿宋_GB2312" w:hAnsi="仿宋_GB2312" w:eastAsia="仿宋_GB2312" w:cs="仿宋_GB2312"/>
          <w:color w:val="auto"/>
          <w:sz w:val="32"/>
          <w:szCs w:val="32"/>
        </w:rPr>
        <w:t>5</w:t>
      </w:r>
      <w:r>
        <w:rPr>
          <w:rFonts w:ascii="仿宋_GB2312" w:hAnsi="仿宋_GB2312" w:eastAsia="仿宋_GB2312" w:cs="仿宋_GB2312"/>
          <w:color w:val="auto"/>
          <w:sz w:val="32"/>
          <w:szCs w:val="32"/>
        </w:rPr>
        <w:t>人，团队总人数不少于10人</w:t>
      </w:r>
      <w:r>
        <w:rPr>
          <w:rFonts w:hint="eastAsia" w:ascii="仿宋_GB2312" w:hAnsi="仿宋_GB2312" w:eastAsia="仿宋_GB2312" w:cs="仿宋_GB2312"/>
          <w:color w:val="auto"/>
          <w:sz w:val="32"/>
          <w:szCs w:val="32"/>
          <w:lang w:eastAsia="zh-CN"/>
        </w:rPr>
        <w:t>。</w:t>
      </w:r>
    </w:p>
    <w:p w14:paraId="23B72712">
      <w:pPr>
        <w:pStyle w:val="6"/>
        <w:widowControl/>
        <w:shd w:val="clear" w:color="auto" w:fill="FFFFFF"/>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3.具有服务</w:t>
      </w:r>
      <w:r>
        <w:rPr>
          <w:rFonts w:hint="eastAsia" w:ascii="仿宋_GB2312" w:hAnsi="仿宋_GB2312" w:eastAsia="仿宋_GB2312" w:cs="仿宋_GB2312"/>
          <w:color w:val="auto"/>
          <w:sz w:val="32"/>
          <w:szCs w:val="32"/>
          <w:lang w:val="en-US" w:eastAsia="zh-CN"/>
        </w:rPr>
        <w:t>青岛市创新主体</w:t>
      </w:r>
      <w:r>
        <w:rPr>
          <w:rFonts w:hint="eastAsia" w:ascii="仿宋_GB2312" w:hAnsi="仿宋_GB2312" w:eastAsia="仿宋_GB2312" w:cs="仿宋_GB2312"/>
          <w:color w:val="auto"/>
          <w:sz w:val="32"/>
          <w:szCs w:val="32"/>
        </w:rPr>
        <w:t>知识产权创造、运用、保护和服务全链条的能力</w:t>
      </w:r>
      <w:r>
        <w:rPr>
          <w:rFonts w:hint="eastAsia" w:ascii="仿宋_GB2312" w:hAnsi="仿宋_GB2312" w:eastAsia="仿宋_GB2312" w:cs="仿宋_GB2312"/>
          <w:color w:val="auto"/>
          <w:sz w:val="32"/>
          <w:szCs w:val="32"/>
          <w:lang w:val="en-US" w:eastAsia="zh-CN"/>
        </w:rPr>
        <w:t>和工作基础</w:t>
      </w:r>
      <w:r>
        <w:rPr>
          <w:rFonts w:hint="eastAsia" w:ascii="仿宋_GB2312" w:hAnsi="仿宋_GB2312" w:eastAsia="仿宋_GB2312" w:cs="仿宋_GB2312"/>
          <w:color w:val="auto"/>
          <w:sz w:val="32"/>
          <w:szCs w:val="32"/>
        </w:rPr>
        <w:t>，包括但不限于有较好的专利数据分析能力，近</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年承担过企业经营类或产业、区域类专利</w:t>
      </w:r>
      <w:r>
        <w:rPr>
          <w:rFonts w:ascii="仿宋_GB2312" w:hAnsi="仿宋_GB2312" w:eastAsia="仿宋_GB2312" w:cs="仿宋_GB2312"/>
          <w:color w:val="auto"/>
          <w:sz w:val="32"/>
          <w:szCs w:val="32"/>
        </w:rPr>
        <w:t>导航</w:t>
      </w:r>
      <w:r>
        <w:rPr>
          <w:rFonts w:hint="eastAsia" w:ascii="仿宋_GB2312" w:hAnsi="仿宋_GB2312" w:eastAsia="仿宋_GB2312" w:cs="仿宋_GB2312"/>
          <w:color w:val="auto"/>
          <w:sz w:val="32"/>
          <w:szCs w:val="32"/>
        </w:rPr>
        <w:t>项目；有丰富的专利运营实践经验和成效，近</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年组织开展过专利转化对接活动，</w:t>
      </w:r>
      <w:r>
        <w:rPr>
          <w:rFonts w:hint="eastAsia" w:ascii="仿宋_GB2312" w:hAnsi="仿宋_GB2312" w:eastAsia="仿宋_GB2312" w:cs="仿宋_GB2312"/>
          <w:color w:val="auto"/>
          <w:sz w:val="32"/>
          <w:szCs w:val="32"/>
          <w:lang w:val="en-US" w:eastAsia="zh-CN"/>
        </w:rPr>
        <w:t>并</w:t>
      </w:r>
      <w:r>
        <w:rPr>
          <w:rFonts w:ascii="仿宋_GB2312" w:hAnsi="仿宋_GB2312" w:eastAsia="仿宋_GB2312" w:cs="仿宋_GB2312"/>
          <w:color w:val="auto"/>
          <w:sz w:val="32"/>
          <w:szCs w:val="32"/>
        </w:rPr>
        <w:t>协助完成专利许可/转让</w:t>
      </w:r>
      <w:r>
        <w:rPr>
          <w:rFonts w:hint="eastAsia" w:ascii="仿宋_GB2312" w:hAnsi="仿宋_GB2312" w:eastAsia="仿宋_GB2312" w:cs="仿宋_GB2312"/>
          <w:color w:val="auto"/>
          <w:sz w:val="32"/>
          <w:szCs w:val="32"/>
        </w:rPr>
        <w:t>/作价入股</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有专利价值评估能力，为企业或银行提供过知识产权价值评估报告；有知识产权保护协作能力，能够为企业提供专利侵权分析、海外知识产权风险预警、知识产权鉴定等服务</w:t>
      </w:r>
      <w:r>
        <w:rPr>
          <w:rFonts w:hint="eastAsia" w:ascii="仿宋_GB2312" w:hAnsi="仿宋_GB2312" w:eastAsia="仿宋_GB2312" w:cs="仿宋_GB2312"/>
          <w:color w:val="auto"/>
          <w:sz w:val="32"/>
          <w:szCs w:val="32"/>
          <w:lang w:eastAsia="zh-CN"/>
        </w:rPr>
        <w:t>。</w:t>
      </w:r>
    </w:p>
    <w:p w14:paraId="31B6E9F8">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申报主体近3年未被列入国家、省、市失信联合惩戒名单，在申报和承担财政支持项目中无不良信用记录。符合财政涉企资金“绿色门槛”制度要求。已承担省级知识产权市场化机构服务专利产业化项目的单位，原则上不再重复申报。</w:t>
      </w:r>
    </w:p>
    <w:p w14:paraId="55A9F066">
      <w:pPr>
        <w:tabs>
          <w:tab w:val="left" w:pos="1260"/>
        </w:tabs>
        <w:spacing w:line="560" w:lineRule="exact"/>
        <w:ind w:firstLine="640" w:firstLineChars="200"/>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（二）揭榜任务</w:t>
      </w:r>
    </w:p>
    <w:p w14:paraId="3FE8783C">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申报单位应当自项目获批之日起</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年内开展以下工作，并取得积极成效：</w:t>
      </w:r>
    </w:p>
    <w:p w14:paraId="6A75A787">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提升专利转化运用整体效能。项目周期内开展辖区内高校、科研院所专利摸排，筛选可市场化转化专利不少于200件，分类标注技术领域、应用场景、潜在受让企业等信息，并加强交易撮合；定向挖掘企业技术需求，加强产学研合作对接，促成专利转让、许可合同落地不少于100项；组织专场专利转化运用对接会不少于2场，线上专利供需匹配常态化运营；指导并协助本地企业完成国家专利密集型产品备案不少于10件次；</w:t>
      </w:r>
      <w:r>
        <w:rPr>
          <w:rFonts w:ascii="仿宋_GB2312" w:hAnsi="仿宋_GB2312" w:eastAsia="仿宋_GB2312" w:cs="仿宋_GB2312"/>
          <w:color w:val="auto"/>
          <w:sz w:val="32"/>
          <w:szCs w:val="32"/>
        </w:rPr>
        <w:t>服务</w:t>
      </w:r>
      <w:r>
        <w:rPr>
          <w:rFonts w:hint="eastAsia" w:ascii="仿宋_GB2312" w:hAnsi="仿宋_GB2312" w:eastAsia="仿宋_GB2312" w:cs="仿宋_GB2312"/>
          <w:color w:val="auto"/>
          <w:sz w:val="32"/>
          <w:szCs w:val="32"/>
          <w:lang w:val="en-US" w:eastAsia="zh-CN"/>
        </w:rPr>
        <w:t>不少于</w:t>
      </w: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00家企业在国家</w:t>
      </w:r>
      <w:r>
        <w:rPr>
          <w:rFonts w:hint="eastAsia" w:ascii="仿宋_GB2312" w:hAnsi="仿宋_GB2312" w:eastAsia="仿宋_GB2312" w:cs="仿宋_GB2312"/>
          <w:color w:val="auto"/>
          <w:sz w:val="32"/>
          <w:szCs w:val="32"/>
        </w:rPr>
        <w:t>专利导航综合服务平台</w:t>
      </w:r>
      <w:r>
        <w:rPr>
          <w:rFonts w:ascii="仿宋_GB2312" w:hAnsi="仿宋_GB2312" w:eastAsia="仿宋_GB2312" w:cs="仿宋_GB2312"/>
          <w:color w:val="auto"/>
          <w:sz w:val="32"/>
          <w:szCs w:val="32"/>
        </w:rPr>
        <w:t>存量专利盘活系统进行专利供需对接</w:t>
      </w:r>
      <w:r>
        <w:rPr>
          <w:rFonts w:hint="eastAsia" w:ascii="仿宋_GB2312" w:hAnsi="仿宋_GB2312" w:eastAsia="仿宋_GB2312" w:cs="仿宋_GB2312"/>
          <w:color w:val="auto"/>
          <w:sz w:val="32"/>
          <w:szCs w:val="32"/>
        </w:rPr>
        <w:t>；组织不少于20家企业充分利用青岛市知识产权运营服务平台，开展专利运用与信息对接</w:t>
      </w:r>
      <w:r>
        <w:rPr>
          <w:rFonts w:hint="eastAsia" w:ascii="仿宋_GB2312" w:hAnsi="仿宋_GB2312" w:eastAsia="仿宋_GB2312" w:cs="仿宋_GB2312"/>
          <w:color w:val="auto"/>
          <w:sz w:val="32"/>
          <w:szCs w:val="32"/>
          <w:lang w:eastAsia="zh-CN"/>
        </w:rPr>
        <w:t>。</w:t>
      </w:r>
    </w:p>
    <w:p w14:paraId="380FB414">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2.提升知识产权布局精准服务能力。项目周期内面向重点产业相关企业、专精特新企业开展高价值专利挖掘辅导，全年走访企业不少于50家，服务企业</w:t>
      </w:r>
      <w:r>
        <w:rPr>
          <w:rFonts w:hint="eastAsia" w:ascii="仿宋_GB2312" w:hAnsi="仿宋_GB2312" w:eastAsia="仿宋_GB2312" w:cs="仿宋_GB2312"/>
          <w:color w:val="auto"/>
          <w:sz w:val="32"/>
          <w:szCs w:val="32"/>
          <w:lang w:val="en-US" w:eastAsia="zh-CN"/>
        </w:rPr>
        <w:t>布局</w:t>
      </w:r>
      <w:r>
        <w:rPr>
          <w:rFonts w:hint="eastAsia" w:ascii="仿宋_GB2312" w:hAnsi="仿宋_GB2312" w:eastAsia="仿宋_GB2312" w:cs="仿宋_GB2312"/>
          <w:color w:val="auto"/>
          <w:sz w:val="32"/>
          <w:szCs w:val="32"/>
        </w:rPr>
        <w:t>战略性新兴产业领域发明专利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并完成专利申请前评估</w:t>
      </w:r>
      <w:r>
        <w:rPr>
          <w:rFonts w:hint="eastAsia" w:ascii="仿宋_GB2312" w:hAnsi="仿宋_GB2312" w:eastAsia="仿宋_GB2312" w:cs="仿宋_GB2312"/>
          <w:color w:val="auto"/>
          <w:sz w:val="32"/>
          <w:szCs w:val="32"/>
        </w:rPr>
        <w:t>不少于50件；为不少于5个高端人才创新团队开展知识产权精准服务；服务专利权质押贷款不少于5项或开展专利导航项目不少于1项。</w:t>
      </w:r>
    </w:p>
    <w:p w14:paraId="6F0A8FC4">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提升知识产权保护协作能力。项目周期内组织企业开展知识产权保护等专题培训不少于2场；为重点产业企业开展知识产权风险排查不少于5家；参与知识产权侵权纠纷调处、咨询服务、知识产权鉴定等不少于10件。</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19850">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1CC597">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D1CC597">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F73F0B"/>
    <w:multiLevelType w:val="singleLevel"/>
    <w:tmpl w:val="F0F73F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7122"/>
    <w:rsid w:val="00054D45"/>
    <w:rsid w:val="000F5F29"/>
    <w:rsid w:val="00172A27"/>
    <w:rsid w:val="001751FA"/>
    <w:rsid w:val="001E6EC0"/>
    <w:rsid w:val="00224478"/>
    <w:rsid w:val="00246C52"/>
    <w:rsid w:val="003832F9"/>
    <w:rsid w:val="00467592"/>
    <w:rsid w:val="004C7EA4"/>
    <w:rsid w:val="004F1230"/>
    <w:rsid w:val="00545528"/>
    <w:rsid w:val="00597677"/>
    <w:rsid w:val="00647437"/>
    <w:rsid w:val="006741B2"/>
    <w:rsid w:val="006B5C29"/>
    <w:rsid w:val="0079180D"/>
    <w:rsid w:val="0082300C"/>
    <w:rsid w:val="008620CC"/>
    <w:rsid w:val="0091392B"/>
    <w:rsid w:val="009B55C5"/>
    <w:rsid w:val="009F1029"/>
    <w:rsid w:val="009F4D87"/>
    <w:rsid w:val="009F73CE"/>
    <w:rsid w:val="00A90AEF"/>
    <w:rsid w:val="00AB1E00"/>
    <w:rsid w:val="00AB7E67"/>
    <w:rsid w:val="00B7295D"/>
    <w:rsid w:val="00BD0839"/>
    <w:rsid w:val="00C111E0"/>
    <w:rsid w:val="00C208F9"/>
    <w:rsid w:val="00C35E7F"/>
    <w:rsid w:val="00C618E0"/>
    <w:rsid w:val="00C64668"/>
    <w:rsid w:val="00CE6C7B"/>
    <w:rsid w:val="00D5616C"/>
    <w:rsid w:val="00D96699"/>
    <w:rsid w:val="00E07BBE"/>
    <w:rsid w:val="00E315EB"/>
    <w:rsid w:val="00E41DD0"/>
    <w:rsid w:val="00EE02B1"/>
    <w:rsid w:val="00EF631D"/>
    <w:rsid w:val="00F07FB9"/>
    <w:rsid w:val="00F76CA9"/>
    <w:rsid w:val="00FB4ECE"/>
    <w:rsid w:val="00FD6387"/>
    <w:rsid w:val="00FD6791"/>
    <w:rsid w:val="00FE4984"/>
    <w:rsid w:val="03D74EA4"/>
    <w:rsid w:val="0ECE580D"/>
    <w:rsid w:val="0EF551CF"/>
    <w:rsid w:val="17CB7011"/>
    <w:rsid w:val="302A11B1"/>
    <w:rsid w:val="33300D57"/>
    <w:rsid w:val="38007070"/>
    <w:rsid w:val="41F909FA"/>
    <w:rsid w:val="46626E3F"/>
    <w:rsid w:val="47133DDA"/>
    <w:rsid w:val="53C067A8"/>
    <w:rsid w:val="55A5558A"/>
    <w:rsid w:val="6E1823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560" w:lineRule="exact"/>
      <w:ind w:firstLine="555"/>
    </w:pPr>
    <w:rPr>
      <w:rFonts w:ascii="仿宋_GB2312" w:eastAsia="仿宋_GB2312"/>
      <w:color w:val="000000"/>
      <w:sz w:val="32"/>
    </w:r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sz w:val="24"/>
    </w:rPr>
  </w:style>
  <w:style w:type="paragraph" w:styleId="7">
    <w:name w:val="Body Text First Indent 2"/>
    <w:basedOn w:val="2"/>
    <w:qFormat/>
    <w:uiPriority w:val="0"/>
    <w:pPr>
      <w:ind w:left="200" w:firstLine="420" w:firstLineChars="200"/>
    </w:pPr>
    <w:rPr>
      <w:rFonts w:ascii="Times New Roman" w:hAnsi="宋体"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2869</Words>
  <Characters>2906</Characters>
  <Lines>22</Lines>
  <Paragraphs>6</Paragraphs>
  <TotalTime>24</TotalTime>
  <ScaleCrop>false</ScaleCrop>
  <LinksUpToDate>false</LinksUpToDate>
  <CharactersWithSpaces>2906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2026-09-29T09:03:00Z</dcterms:created>
  <dc:creator>王燕</dc:creator>
  <cp:lastModifiedBy>王燕</cp:lastModifiedBy>
  <cp:lastPrinted>2026-10-10T01:23:00Z</cp:lastPrinted>
  <dcterms:modified xsi:type="dcterms:W3CDTF">2026-10-14T07:06:22Z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17A22250C2054CB38DADF8589892C5CF_13</vt:lpwstr>
  </property>
  <property fmtid="{D5CDD505-2E9C-101B-9397-08002B2CF9AE}" pid="4" name="KSOTemplateDocerSaveRecord">
    <vt:lpwstr>eyJoZGlkIjoiOWY5OTU0YmY3MDg5NDYwN2VkOTQ1Y2FlNTkzZjVhZjYiLCJ1c2VySWQiOiI0MzkwNDI0NjIifQ==</vt:lpwstr>
  </property>
</Properties>
</file>