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AFBB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637B8F4">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191D450">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14:paraId="5FE89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8B99011">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827BA15">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31 </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6CCD77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7368CDE3">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140A46C7">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3A020D7">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3702/T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4AACF958">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87DC5BF">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6880D7A">
      <w:pPr>
        <w:pStyle w:val="53"/>
        <w:framePr w:w="9639" w:h="6976" w:hRule="exact" w:hSpace="0" w:vSpace="0" w:wrap="around" w:hAnchor="page" w:y="6408"/>
        <w:jc w:val="center"/>
        <w:rPr>
          <w:rFonts w:ascii="黑体" w:hAnsi="黑体" w:eastAsia="黑体"/>
          <w:b w:val="0"/>
          <w:bCs w:val="0"/>
          <w:w w:val="100"/>
        </w:rPr>
      </w:pPr>
    </w:p>
    <w:p w14:paraId="271625EA">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地理标志产品</w:t>
      </w:r>
      <w:r>
        <w:t xml:space="preserve">  平度牛肉</w:t>
      </w:r>
    </w:p>
    <w:p w14:paraId="7EBBE35D">
      <w:pPr>
        <w:pStyle w:val="200"/>
        <w:framePr w:h="6974" w:hRule="exact" w:wrap="around" w:x="1419" w:anchorLock="1"/>
      </w:pPr>
      <w:r>
        <w:t>第2部分：</w:t>
      </w:r>
      <w:r>
        <w:rPr>
          <w:rFonts w:hint="eastAsia"/>
        </w:rPr>
        <w:t>质量标准</w:t>
      </w:r>
      <w:r>
        <w:fldChar w:fldCharType="end"/>
      </w:r>
      <w:bookmarkEnd w:id="9"/>
    </w:p>
    <w:p w14:paraId="0CCA9839">
      <w:pPr>
        <w:framePr w:w="9639" w:h="6974" w:hRule="exact" w:wrap="around" w:vAnchor="page" w:hAnchor="page" w:x="1419" w:y="6408" w:anchorLock="1"/>
        <w:ind w:left="-1418"/>
      </w:pPr>
    </w:p>
    <w:p w14:paraId="22C456EA">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      Geographical Indication ProductPingdu Beef  </w:t>
      </w:r>
    </w:p>
    <w:p w14:paraId="48EC0FE9">
      <w:pPr>
        <w:pStyle w:val="128"/>
        <w:framePr w:w="9639" w:h="6974" w:hRule="exact" w:wrap="around" w:vAnchor="page" w:hAnchor="page" w:x="1419" w:y="6408" w:anchorLock="1"/>
        <w:textAlignment w:val="bottom"/>
        <w:rPr>
          <w:rFonts w:eastAsia="黑体"/>
          <w:szCs w:val="28"/>
        </w:rPr>
      </w:pPr>
      <w:r>
        <w:rPr>
          <w:rFonts w:eastAsia="黑体"/>
          <w:szCs w:val="28"/>
        </w:rPr>
        <w:t>Part 2 Quality Standard </w:t>
      </w:r>
    </w:p>
    <w:p w14:paraId="3B8654BD">
      <w:pPr>
        <w:pStyle w:val="12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2CF5A10F">
      <w:pPr>
        <w:framePr w:w="9639" w:h="6974" w:hRule="exact" w:wrap="around" w:vAnchor="page" w:hAnchor="page" w:x="1419" w:y="6408" w:anchorLock="1"/>
        <w:spacing w:line="760" w:lineRule="exact"/>
        <w:ind w:left="-1418"/>
      </w:pPr>
    </w:p>
    <w:p w14:paraId="21F4517F">
      <w:pPr>
        <w:pStyle w:val="128"/>
        <w:framePr w:w="9639" w:h="6974" w:hRule="exact" w:wrap="around" w:vAnchor="page" w:hAnchor="page" w:x="1419" w:y="6408" w:anchorLock="1"/>
        <w:textAlignment w:val="bottom"/>
        <w:rPr>
          <w:rFonts w:eastAsia="黑体"/>
          <w:szCs w:val="28"/>
        </w:rPr>
      </w:pPr>
    </w:p>
    <w:p w14:paraId="4D5B7251">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26B3240">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6596EA41">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5A05B38">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1A41E8A">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D0BBFBB">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236CBEF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9BDF0D4">
      <w:pPr>
        <w:pStyle w:val="94"/>
        <w:spacing w:after="468"/>
        <w:rPr>
          <w:rFonts w:hint="eastAsia"/>
        </w:rPr>
      </w:pPr>
      <w:bookmarkStart w:id="21" w:name="BookMark1"/>
      <w:r>
        <w:rPr>
          <w:rFonts w:hint="eastAsia"/>
          <w:spacing w:val="320"/>
        </w:rPr>
        <w:t>目</w:t>
      </w:r>
      <w:r>
        <w:rPr>
          <w:rFonts w:hint="eastAsia"/>
        </w:rPr>
        <w:t>次</w:t>
      </w:r>
    </w:p>
    <w:p w14:paraId="1A3EC47C">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"_Toc185931318" </w:instrText>
      </w:r>
      <w:r>
        <w:fldChar w:fldCharType="separate"/>
      </w:r>
      <w:r>
        <w:rPr>
          <w:rStyle w:val="35"/>
        </w:rPr>
        <w:t>前言</w:t>
      </w:r>
      <w:r>
        <w:tab/>
      </w:r>
      <w:r>
        <w:fldChar w:fldCharType="begin"/>
      </w:r>
      <w:r>
        <w:instrText xml:space="preserve"> PAGEREF _Toc185931318 \h </w:instrText>
      </w:r>
      <w:r>
        <w:fldChar w:fldCharType="separate"/>
      </w:r>
      <w:r>
        <w:t>II</w:t>
      </w:r>
      <w:r>
        <w:fldChar w:fldCharType="end"/>
      </w:r>
      <w:r>
        <w:fldChar w:fldCharType="end"/>
      </w:r>
    </w:p>
    <w:p w14:paraId="3BAAE3C4">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"_Toc185931319" </w:instrText>
      </w:r>
      <w:r>
        <w:fldChar w:fldCharType="separate"/>
      </w:r>
      <w:r>
        <w:rPr>
          <w:rStyle w:val="35"/>
        </w:rPr>
        <w:t>1  范围</w:t>
      </w:r>
      <w:r>
        <w:tab/>
      </w:r>
      <w:r>
        <w:fldChar w:fldCharType="begin"/>
      </w:r>
      <w:r>
        <w:instrText xml:space="preserve"> PAGEREF _Toc185931319 \h </w:instrText>
      </w:r>
      <w:r>
        <w:fldChar w:fldCharType="separate"/>
      </w:r>
      <w:r>
        <w:t>1</w:t>
      </w:r>
      <w:r>
        <w:fldChar w:fldCharType="end"/>
      </w:r>
      <w:r>
        <w:fldChar w:fldCharType="end"/>
      </w:r>
    </w:p>
    <w:p w14:paraId="1E70ABF1">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"_Toc185931320" </w:instrText>
      </w:r>
      <w:r>
        <w:fldChar w:fldCharType="separate"/>
      </w:r>
      <w:r>
        <w:rPr>
          <w:rStyle w:val="35"/>
        </w:rPr>
        <w:t>2  规范性引用文件</w:t>
      </w:r>
      <w:r>
        <w:tab/>
      </w:r>
      <w:r>
        <w:fldChar w:fldCharType="begin"/>
      </w:r>
      <w:r>
        <w:instrText xml:space="preserve"> PAGEREF _Toc185931320 \h </w:instrText>
      </w:r>
      <w:r>
        <w:fldChar w:fldCharType="separate"/>
      </w:r>
      <w:r>
        <w:t>1</w:t>
      </w:r>
      <w:r>
        <w:fldChar w:fldCharType="end"/>
      </w:r>
      <w:r>
        <w:fldChar w:fldCharType="end"/>
      </w:r>
    </w:p>
    <w:p w14:paraId="679FD08A">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"_Toc185931321" </w:instrText>
      </w:r>
      <w:r>
        <w:fldChar w:fldCharType="separate"/>
      </w:r>
      <w:r>
        <w:rPr>
          <w:rStyle w:val="35"/>
        </w:rPr>
        <w:t>3  术语和定义</w:t>
      </w:r>
      <w:r>
        <w:tab/>
      </w:r>
      <w:r>
        <w:fldChar w:fldCharType="begin"/>
      </w:r>
      <w:r>
        <w:instrText xml:space="preserve"> PAGEREF _Toc185931321 \h </w:instrText>
      </w:r>
      <w:r>
        <w:fldChar w:fldCharType="separate"/>
      </w:r>
      <w:r>
        <w:t>2</w:t>
      </w:r>
      <w:r>
        <w:fldChar w:fldCharType="end"/>
      </w:r>
      <w:r>
        <w:fldChar w:fldCharType="end"/>
      </w:r>
    </w:p>
    <w:p w14:paraId="61B65716">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"_Toc185931322" </w:instrText>
      </w:r>
      <w:r>
        <w:fldChar w:fldCharType="separate"/>
      </w:r>
      <w:r>
        <w:rPr>
          <w:rStyle w:val="35"/>
          <w:rFonts w:hAnsi="Calibri"/>
        </w:rPr>
        <w:t xml:space="preserve">4 </w:t>
      </w:r>
      <w:r>
        <w:rPr>
          <w:rStyle w:val="35"/>
        </w:rPr>
        <w:t xml:space="preserve"> 保护范围</w:t>
      </w:r>
      <w:r>
        <w:tab/>
      </w:r>
      <w:r>
        <w:fldChar w:fldCharType="begin"/>
      </w:r>
      <w:r>
        <w:instrText xml:space="preserve"> PAGEREF _Toc185931322 \h </w:instrText>
      </w:r>
      <w:r>
        <w:fldChar w:fldCharType="separate"/>
      </w:r>
      <w:r>
        <w:t>2</w:t>
      </w:r>
      <w:r>
        <w:fldChar w:fldCharType="end"/>
      </w:r>
      <w:r>
        <w:fldChar w:fldCharType="end"/>
      </w:r>
    </w:p>
    <w:p w14:paraId="25853A47">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"_Toc185931323" </w:instrText>
      </w:r>
      <w:r>
        <w:fldChar w:fldCharType="separate"/>
      </w:r>
      <w:r>
        <w:rPr>
          <w:rStyle w:val="35"/>
        </w:rPr>
        <w:t>5  品类分级</w:t>
      </w:r>
      <w:r>
        <w:tab/>
      </w:r>
      <w:r>
        <w:fldChar w:fldCharType="begin"/>
      </w:r>
      <w:r>
        <w:instrText xml:space="preserve"> PAGEREF _Toc185931323 \h </w:instrText>
      </w:r>
      <w:r>
        <w:fldChar w:fldCharType="separate"/>
      </w:r>
      <w:r>
        <w:t>2</w:t>
      </w:r>
      <w:r>
        <w:fldChar w:fldCharType="end"/>
      </w:r>
      <w:r>
        <w:fldChar w:fldCharType="end"/>
      </w:r>
    </w:p>
    <w:p w14:paraId="4AB77C3C">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"_Toc185931324" </w:instrText>
      </w:r>
      <w:r>
        <w:fldChar w:fldCharType="separate"/>
      </w:r>
      <w:r>
        <w:rPr>
          <w:rStyle w:val="35"/>
        </w:rPr>
        <w:t>6  产品指标</w:t>
      </w:r>
      <w:r>
        <w:tab/>
      </w:r>
      <w:r>
        <w:fldChar w:fldCharType="begin"/>
      </w:r>
      <w:r>
        <w:instrText xml:space="preserve"> PAGEREF _Toc185931324 \h </w:instrText>
      </w:r>
      <w:r>
        <w:fldChar w:fldCharType="separate"/>
      </w:r>
      <w:r>
        <w:t>3</w:t>
      </w:r>
      <w:r>
        <w:fldChar w:fldCharType="end"/>
      </w:r>
      <w:r>
        <w:fldChar w:fldCharType="end"/>
      </w:r>
    </w:p>
    <w:p w14:paraId="3C106EA1">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"_Toc185931325" </w:instrText>
      </w:r>
      <w:r>
        <w:fldChar w:fldCharType="separate"/>
      </w:r>
      <w:r>
        <w:rPr>
          <w:rStyle w:val="35"/>
        </w:rPr>
        <w:t>7  检验规则</w:t>
      </w:r>
      <w:r>
        <w:tab/>
      </w:r>
      <w:r>
        <w:fldChar w:fldCharType="begin"/>
      </w:r>
      <w:r>
        <w:instrText xml:space="preserve"> PAGEREF _Toc185931325 \h </w:instrText>
      </w:r>
      <w:r>
        <w:fldChar w:fldCharType="separate"/>
      </w:r>
      <w:r>
        <w:t>3</w:t>
      </w:r>
      <w:r>
        <w:fldChar w:fldCharType="end"/>
      </w:r>
      <w:r>
        <w:fldChar w:fldCharType="end"/>
      </w:r>
    </w:p>
    <w:p w14:paraId="10AC7898">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"_Toc185931326" </w:instrText>
      </w:r>
      <w:r>
        <w:fldChar w:fldCharType="separate"/>
      </w:r>
      <w:r>
        <w:rPr>
          <w:rStyle w:val="35"/>
        </w:rPr>
        <w:t>附录A（规范性）  平度牛肉地理标志保护范围图</w:t>
      </w:r>
      <w:r>
        <w:tab/>
      </w:r>
      <w:r>
        <w:fldChar w:fldCharType="begin"/>
      </w:r>
      <w:r>
        <w:instrText xml:space="preserve"> PAGEREF _Toc185931326 \h </w:instrText>
      </w:r>
      <w:r>
        <w:fldChar w:fldCharType="separate"/>
      </w:r>
      <w:r>
        <w:t>5</w:t>
      </w:r>
      <w:r>
        <w:fldChar w:fldCharType="end"/>
      </w:r>
      <w:r>
        <w:fldChar w:fldCharType="end"/>
      </w:r>
    </w:p>
    <w:p w14:paraId="1563338A">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79D0B2B1">
      <w:pPr>
        <w:pStyle w:val="92"/>
        <w:spacing w:before="900" w:after="468"/>
      </w:pPr>
      <w:bookmarkStart w:id="22" w:name="_Toc185931318"/>
      <w:bookmarkStart w:id="23" w:name="BookMark2"/>
      <w:r>
        <w:rPr>
          <w:spacing w:val="320"/>
        </w:rPr>
        <w:t>前</w:t>
      </w:r>
      <w:r>
        <w:t>言</w:t>
      </w:r>
      <w:bookmarkEnd w:id="22"/>
    </w:p>
    <w:p w14:paraId="1F1DB98F">
      <w:pPr>
        <w:pStyle w:val="59"/>
        <w:ind w:firstLine="420"/>
      </w:pPr>
      <w:r>
        <w:rPr>
          <w:rFonts w:hint="eastAsia"/>
        </w:rPr>
        <w:t>本文件按照GB/T 1.1—2020《标准化工作导则  第1部分：标准化文件的结构和起草规则》的规定起草。</w:t>
      </w:r>
    </w:p>
    <w:p w14:paraId="665B0F3E">
      <w:pPr>
        <w:pStyle w:val="59"/>
        <w:ind w:firstLine="420"/>
        <w:rPr>
          <w:szCs w:val="21"/>
        </w:rPr>
      </w:pPr>
      <w:r>
        <w:rPr>
          <w:rFonts w:hint="eastAsia" w:hAnsi="宋体"/>
        </w:rPr>
        <w:t>本文件DB 3702/T  --</w:t>
      </w:r>
      <w:r>
        <w:rPr>
          <w:rFonts w:hint="eastAsia"/>
        </w:rPr>
        <w:t xml:space="preserve"> </w:t>
      </w:r>
      <w:r>
        <w:rPr>
          <w:rFonts w:hint="eastAsia" w:hAnsi="宋体"/>
        </w:rPr>
        <w:t>《地理标志产品平度牛肉》有以下两个部分组成：</w:t>
      </w:r>
    </w:p>
    <w:p w14:paraId="78947DFB">
      <w:pPr>
        <w:pStyle w:val="59"/>
        <w:ind w:firstLine="420"/>
      </w:pPr>
      <w:r>
        <w:rPr>
          <w:rFonts w:hint="eastAsia" w:hAnsi="宋体"/>
        </w:rPr>
        <w:t>——DB 3702/T .1--</w:t>
      </w:r>
      <w:r>
        <w:rPr>
          <w:rFonts w:hint="eastAsia"/>
        </w:rPr>
        <w:t xml:space="preserve">   </w:t>
      </w:r>
      <w:r>
        <w:rPr>
          <w:rFonts w:hint="eastAsia" w:hAnsi="宋体"/>
        </w:rPr>
        <w:t>地理标志产品平度牛肉</w:t>
      </w:r>
      <w:r>
        <w:rPr>
          <w:rFonts w:hint="eastAsia"/>
        </w:rPr>
        <w:t xml:space="preserve">  </w:t>
      </w:r>
      <w:r>
        <w:rPr>
          <w:rFonts w:hint="eastAsia" w:hAnsi="宋体"/>
        </w:rPr>
        <w:t>第1部分：生产技术规程；</w:t>
      </w:r>
    </w:p>
    <w:p w14:paraId="482AA9E5">
      <w:pPr>
        <w:pStyle w:val="59"/>
        <w:ind w:firstLine="420"/>
      </w:pPr>
      <w:r>
        <w:rPr>
          <w:rFonts w:hint="eastAsia" w:hAnsi="宋体"/>
        </w:rPr>
        <w:t>——DB 3702/T .2--</w:t>
      </w:r>
      <w:r>
        <w:rPr>
          <w:rFonts w:hint="eastAsia"/>
        </w:rPr>
        <w:t xml:space="preserve">   </w:t>
      </w:r>
      <w:r>
        <w:rPr>
          <w:rFonts w:hint="eastAsia" w:hAnsi="宋体"/>
        </w:rPr>
        <w:t>地理标志产品平度牛肉</w:t>
      </w:r>
      <w:r>
        <w:rPr>
          <w:rFonts w:hint="eastAsia"/>
        </w:rPr>
        <w:t xml:space="preserve">  </w:t>
      </w:r>
      <w:r>
        <w:rPr>
          <w:rFonts w:hint="eastAsia" w:hAnsi="宋体"/>
        </w:rPr>
        <w:t>第2部分：质量标准。</w:t>
      </w:r>
    </w:p>
    <w:p w14:paraId="4D80740D">
      <w:pPr>
        <w:pStyle w:val="59"/>
        <w:ind w:firstLine="420"/>
      </w:pPr>
      <w:r>
        <w:rPr>
          <w:rFonts w:hint="eastAsia" w:hAnsi="宋体"/>
        </w:rPr>
        <w:t>本文件为——DB 3702/T  --的第2部分。</w:t>
      </w:r>
    </w:p>
    <w:p w14:paraId="5A385229">
      <w:pPr>
        <w:pStyle w:val="59"/>
        <w:ind w:firstLine="420"/>
      </w:pPr>
      <w:r>
        <w:rPr>
          <w:rFonts w:hint="eastAsia" w:hAnsi="宋体"/>
        </w:rPr>
        <w:t>本文件由青岛市农业农村局提出并组织实施。</w:t>
      </w:r>
    </w:p>
    <w:p w14:paraId="09AB4B4F">
      <w:pPr>
        <w:pStyle w:val="59"/>
        <w:ind w:firstLine="420"/>
      </w:pPr>
      <w:r>
        <w:rPr>
          <w:rFonts w:hint="eastAsia" w:hAnsi="宋体"/>
        </w:rPr>
        <w:t>本文件由青岛市农业农村标准化技术委员会归口</w:t>
      </w:r>
      <w:r>
        <w:rPr>
          <w:rFonts w:hint="eastAsia" w:hAnsi="宋体"/>
          <w:lang w:eastAsia="zh-CN"/>
        </w:rPr>
        <w:t>解释</w:t>
      </w:r>
      <w:r>
        <w:rPr>
          <w:rFonts w:hint="eastAsia" w:hAnsi="宋体"/>
        </w:rPr>
        <w:t>。</w:t>
      </w:r>
    </w:p>
    <w:p w14:paraId="2C303725">
      <w:pPr>
        <w:pStyle w:val="59"/>
        <w:ind w:firstLine="420"/>
      </w:pPr>
      <w:r>
        <w:rPr>
          <w:rFonts w:hint="eastAsia" w:hAnsi="宋体"/>
        </w:rPr>
        <w:t>本文件起草单位:由平度市农业农村局、平度市检验检测中心、黄岛区农业农村局、平度市田庄镇人民政府、青岛琴鑫肉牛养殖加工有限公司等单位。</w:t>
      </w:r>
    </w:p>
    <w:p w14:paraId="64FB1EDB">
      <w:pPr>
        <w:pStyle w:val="59"/>
        <w:ind w:firstLine="420"/>
      </w:pPr>
      <w:r>
        <w:rPr>
          <w:rFonts w:hint="eastAsia" w:hAnsi="宋体"/>
        </w:rPr>
        <w:t>本文件主要起草人:车淑芬</w:t>
      </w:r>
      <w:r>
        <w:rPr>
          <w:rFonts w:hAnsi="宋体"/>
        </w:rPr>
        <w:t>、吕宁、</w:t>
      </w:r>
      <w:r>
        <w:rPr>
          <w:rFonts w:hint="eastAsia" w:hAnsi="宋体"/>
        </w:rPr>
        <w:t>高丽萍、曲忠峰、庄桂玉、郭法光、</w:t>
      </w:r>
      <w:r>
        <w:rPr>
          <w:rFonts w:hAnsi="宋体"/>
        </w:rPr>
        <w:t>马俊俊、</w:t>
      </w:r>
      <w:r>
        <w:rPr>
          <w:rFonts w:hint="eastAsia" w:hAnsi="宋体"/>
        </w:rPr>
        <w:t>张江波、鞠鹏飞、刘晓明、张颜春、王卫、王奕懿、赵维一、贾泉。</w:t>
      </w:r>
    </w:p>
    <w:p w14:paraId="0CFEF503">
      <w:pPr>
        <w:pStyle w:val="59"/>
        <w:ind w:firstLine="420"/>
      </w:pPr>
      <w:r>
        <w:rPr>
          <w:rFonts w:hint="eastAsia" w:hAnsi="宋体"/>
        </w:rPr>
        <w:t>本文件首次发布于2024年</w:t>
      </w:r>
      <w:r>
        <w:rPr>
          <w:rFonts w:hint="eastAsia"/>
        </w:rPr>
        <w:t xml:space="preserve">  </w:t>
      </w:r>
      <w:r>
        <w:rPr>
          <w:rFonts w:hint="eastAsia" w:hAnsi="宋体"/>
        </w:rPr>
        <w:t>月</w:t>
      </w:r>
      <w:r>
        <w:rPr>
          <w:rFonts w:hint="eastAsia"/>
        </w:rPr>
        <w:t xml:space="preserve">  </w:t>
      </w:r>
      <w:r>
        <w:rPr>
          <w:rFonts w:hint="eastAsia" w:hAnsi="宋体"/>
        </w:rPr>
        <w:t>日。</w:t>
      </w:r>
    </w:p>
    <w:p w14:paraId="3BDED961">
      <w:pPr>
        <w:pStyle w:val="59"/>
        <w:ind w:firstLine="420"/>
      </w:pPr>
    </w:p>
    <w:p w14:paraId="5E9C31F8">
      <w:pPr>
        <w:pStyle w:val="59"/>
        <w:ind w:firstLine="420"/>
      </w:pPr>
    </w:p>
    <w:p w14:paraId="16BCA5C3">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0D212A29">
      <w:pPr>
        <w:spacing w:line="20" w:lineRule="exact"/>
        <w:jc w:val="center"/>
        <w:rPr>
          <w:rFonts w:ascii="黑体" w:hAnsi="黑体" w:eastAsia="黑体"/>
          <w:sz w:val="32"/>
          <w:szCs w:val="32"/>
        </w:rPr>
      </w:pPr>
      <w:bookmarkStart w:id="24" w:name="BookMark4"/>
    </w:p>
    <w:p w14:paraId="083D17BA">
      <w:pPr>
        <w:spacing w:line="20" w:lineRule="exact"/>
        <w:jc w:val="center"/>
        <w:rPr>
          <w:rFonts w:ascii="黑体" w:hAnsi="黑体" w:eastAsia="黑体"/>
          <w:sz w:val="32"/>
          <w:szCs w:val="32"/>
        </w:rPr>
      </w:pPr>
    </w:p>
    <w:sdt>
      <w:sdtPr>
        <w:tag w:val="NEW_STAND_NAME"/>
        <w:id w:val="595910757"/>
        <w:lock w:val="sdtLocked"/>
        <w:placeholder>
          <w:docPart w:val="ED661DC3E8E64CC195DCCC076DED1991"/>
        </w:placeholder>
      </w:sdtPr>
      <w:sdtContent>
        <w:p w14:paraId="35638B32">
          <w:pPr>
            <w:pStyle w:val="180"/>
            <w:spacing w:before="312" w:beforeLines="100" w:after="3" w:afterLines="1"/>
          </w:pPr>
          <w:bookmarkStart w:id="25" w:name="NEW_STAND_NAME"/>
          <w:r>
            <w:rPr>
              <w:rFonts w:hint="eastAsia"/>
            </w:rPr>
            <w:t>地理标志产品</w:t>
          </w:r>
          <w:r>
            <w:t xml:space="preserve">  平度牛肉</w:t>
          </w:r>
        </w:p>
        <w:p w14:paraId="114DF7BE">
          <w:pPr>
            <w:pStyle w:val="180"/>
            <w:spacing w:before="3" w:beforeLines="1" w:after="680"/>
          </w:pPr>
          <w:r>
            <w:rPr>
              <w:rFonts w:hint="eastAsia"/>
            </w:rPr>
            <w:t>第</w:t>
          </w:r>
          <w:r>
            <w:t>2部分：质量标准</w:t>
          </w:r>
        </w:p>
      </w:sdtContent>
    </w:sdt>
    <w:bookmarkEnd w:id="25"/>
    <w:p w14:paraId="62D76970">
      <w:pPr>
        <w:pStyle w:val="107"/>
        <w:spacing w:before="312" w:after="312"/>
      </w:pPr>
      <w:bookmarkStart w:id="26" w:name="_Toc24884211"/>
      <w:bookmarkStart w:id="27" w:name="_Toc17233333"/>
      <w:bookmarkStart w:id="28" w:name="_Toc185931319"/>
      <w:bookmarkStart w:id="29" w:name="_Toc26718930"/>
      <w:bookmarkStart w:id="30" w:name="_Toc24884218"/>
      <w:bookmarkStart w:id="31" w:name="_Toc97191423"/>
      <w:bookmarkStart w:id="32" w:name="_Toc26986771"/>
      <w:bookmarkStart w:id="33" w:name="_Toc26986530"/>
      <w:bookmarkStart w:id="34" w:name="_Toc26648465"/>
      <w:bookmarkStart w:id="35" w:name="_Toc17233325"/>
      <w:r>
        <w:rPr>
          <w:rFonts w:hint="eastAsia"/>
        </w:rPr>
        <w:t>范围</w:t>
      </w:r>
      <w:bookmarkEnd w:id="26"/>
      <w:bookmarkEnd w:id="27"/>
      <w:bookmarkEnd w:id="28"/>
      <w:bookmarkEnd w:id="29"/>
      <w:bookmarkEnd w:id="30"/>
      <w:bookmarkEnd w:id="31"/>
      <w:bookmarkEnd w:id="32"/>
      <w:bookmarkEnd w:id="33"/>
      <w:bookmarkEnd w:id="34"/>
      <w:bookmarkEnd w:id="35"/>
    </w:p>
    <w:p w14:paraId="0D18B7C7">
      <w:pPr>
        <w:pStyle w:val="59"/>
        <w:ind w:firstLine="420"/>
      </w:pPr>
      <w:bookmarkStart w:id="36" w:name="_Toc17233334"/>
      <w:bookmarkStart w:id="37" w:name="_Toc17233326"/>
      <w:bookmarkStart w:id="38" w:name="_Toc24884212"/>
      <w:bookmarkStart w:id="39" w:name="_Toc26648466"/>
      <w:bookmarkStart w:id="40" w:name="_Toc24884219"/>
      <w:r>
        <w:rPr>
          <w:rFonts w:hint="eastAsia"/>
        </w:rPr>
        <w:t>本文件规定了地理标志产品平度牛肉质量标准的规范性引用文件、术语和定义、保护范围、包装分级、产品指标、检验规则要求。</w:t>
      </w:r>
    </w:p>
    <w:p w14:paraId="75DBC7D5">
      <w:pPr>
        <w:pStyle w:val="59"/>
        <w:ind w:firstLine="420"/>
      </w:pPr>
      <w:r>
        <w:rPr>
          <w:rFonts w:hint="eastAsia"/>
        </w:rPr>
        <w:t>本文件适用于地理标志产品保护范围内鲜、冻平度牛肉产品。</w:t>
      </w:r>
    </w:p>
    <w:p w14:paraId="6892A308">
      <w:pPr>
        <w:pStyle w:val="107"/>
        <w:spacing w:before="312" w:after="312"/>
      </w:pPr>
      <w:bookmarkStart w:id="41" w:name="_Toc185931320"/>
      <w:bookmarkStart w:id="42" w:name="_Toc97191424"/>
      <w:bookmarkStart w:id="43" w:name="_Toc26718931"/>
      <w:bookmarkStart w:id="44" w:name="_Toc26986772"/>
      <w:bookmarkStart w:id="45" w:name="_Toc269865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B0ECA9CC39A4CECB9E5EFD25B4AD1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3DE3E1A">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2327DAF">
      <w:pPr>
        <w:pStyle w:val="59"/>
        <w:ind w:firstLine="420"/>
      </w:pPr>
      <w:bookmarkStart w:id="46" w:name="_Toc97191425"/>
      <w:r>
        <w:rPr>
          <w:rFonts w:hint="eastAsia"/>
        </w:rPr>
        <w:t>GB 2707  食品安全国家标准 鲜（冻）畜禽产品</w:t>
      </w:r>
    </w:p>
    <w:p w14:paraId="638C174C">
      <w:pPr>
        <w:pStyle w:val="59"/>
        <w:ind w:firstLine="420"/>
      </w:pPr>
      <w:r>
        <w:rPr>
          <w:rFonts w:hint="eastAsia"/>
        </w:rPr>
        <w:t>GB 2762  食品安全国家标准 食品中污染物限量</w:t>
      </w:r>
    </w:p>
    <w:p w14:paraId="2AD80AB4">
      <w:pPr>
        <w:pStyle w:val="59"/>
        <w:ind w:firstLine="420"/>
      </w:pPr>
      <w:r>
        <w:rPr>
          <w:rFonts w:hint="eastAsia"/>
        </w:rPr>
        <w:t>GB 2763  食品安全国家标准 食品中农药最大残留限量</w:t>
      </w:r>
    </w:p>
    <w:p w14:paraId="035FEFF6">
      <w:pPr>
        <w:pStyle w:val="59"/>
        <w:ind w:firstLine="420"/>
      </w:pPr>
      <w:r>
        <w:rPr>
          <w:rFonts w:hint="eastAsia"/>
        </w:rPr>
        <w:t>GB 5009.5  食品安全国家标准 食品中蛋白质的测定</w:t>
      </w:r>
    </w:p>
    <w:p w14:paraId="113EE73A">
      <w:pPr>
        <w:pStyle w:val="59"/>
        <w:ind w:firstLine="420"/>
      </w:pPr>
      <w:r>
        <w:rPr>
          <w:rFonts w:hint="eastAsia"/>
        </w:rPr>
        <w:t>GB  5009.12  食品安全国家标准食品中铅的测定</w:t>
      </w:r>
    </w:p>
    <w:p w14:paraId="529B65BB">
      <w:pPr>
        <w:pStyle w:val="59"/>
        <w:ind w:firstLine="420"/>
      </w:pPr>
      <w:r>
        <w:rPr>
          <w:rFonts w:hint="eastAsia"/>
        </w:rPr>
        <w:t>GB  5009.15  食品安全国家标准食品中镉的测定</w:t>
      </w:r>
    </w:p>
    <w:p w14:paraId="37B4B4C7">
      <w:pPr>
        <w:pStyle w:val="59"/>
        <w:ind w:firstLine="420"/>
      </w:pPr>
      <w:r>
        <w:rPr>
          <w:rFonts w:hint="eastAsia"/>
        </w:rPr>
        <w:t>GB 5009.228  食品安全国家标准 食品中挥发性盐基氮的测定</w:t>
      </w:r>
    </w:p>
    <w:p w14:paraId="612945D8">
      <w:pPr>
        <w:pStyle w:val="59"/>
        <w:ind w:firstLine="420"/>
      </w:pPr>
      <w:r>
        <w:rPr>
          <w:rFonts w:hint="eastAsia"/>
        </w:rPr>
        <w:t>GB 18394  畜禽肉水分限量</w:t>
      </w:r>
    </w:p>
    <w:p w14:paraId="32DCEC9A">
      <w:pPr>
        <w:pStyle w:val="59"/>
        <w:ind w:firstLine="420"/>
      </w:pPr>
      <w:r>
        <w:rPr>
          <w:rFonts w:hint="eastAsia"/>
        </w:rPr>
        <w:t>GB 31650  食品安全国家标准 食品中兽药最大残留限量</w:t>
      </w:r>
    </w:p>
    <w:p w14:paraId="7C2D9A82">
      <w:pPr>
        <w:pStyle w:val="59"/>
        <w:ind w:firstLine="420"/>
      </w:pPr>
      <w:r>
        <w:rPr>
          <w:rFonts w:hint="eastAsia"/>
        </w:rPr>
        <w:t xml:space="preserve">GB 31650.1 </w:t>
      </w:r>
      <w:r>
        <w:rPr>
          <w:rFonts w:hint="eastAsia"/>
          <w:lang w:val="en-US" w:eastAsia="zh-CN"/>
        </w:rPr>
        <w:t xml:space="preserve"> </w:t>
      </w:r>
      <w:r>
        <w:rPr>
          <w:rFonts w:hint="eastAsia"/>
        </w:rPr>
        <w:t>食品安全国家标准 食品中41种兽药最大残留限量</w:t>
      </w:r>
    </w:p>
    <w:p w14:paraId="3F405C89">
      <w:pPr>
        <w:pStyle w:val="59"/>
        <w:ind w:firstLine="420"/>
      </w:pPr>
      <w:r>
        <w:rPr>
          <w:rFonts w:hint="eastAsia"/>
        </w:rPr>
        <w:t>GB 31658.22  食品安全国家标准 动物性食品中β-受体激动剂残留量的测定</w:t>
      </w:r>
      <w:r>
        <w:rPr>
          <w:rFonts w:hint="eastAsia"/>
          <w:lang w:val="en-US" w:eastAsia="zh-CN"/>
        </w:rPr>
        <w:t xml:space="preserve"> </w:t>
      </w:r>
      <w:r>
        <w:rPr>
          <w:rFonts w:hint="eastAsia"/>
        </w:rPr>
        <w:t>液相色谱-串联质谱法</w:t>
      </w:r>
    </w:p>
    <w:p w14:paraId="798E7638">
      <w:pPr>
        <w:pStyle w:val="59"/>
        <w:ind w:firstLine="420"/>
      </w:pPr>
      <w:r>
        <w:rPr>
          <w:rFonts w:hint="eastAsia"/>
        </w:rPr>
        <w:t xml:space="preserve">GB/T 9695.19 </w:t>
      </w:r>
      <w:r>
        <w:rPr>
          <w:rFonts w:hint="eastAsia"/>
          <w:lang w:val="en-US" w:eastAsia="zh-CN"/>
        </w:rPr>
        <w:t xml:space="preserve"> </w:t>
      </w:r>
      <w:r>
        <w:rPr>
          <w:rFonts w:hint="eastAsia"/>
        </w:rPr>
        <w:t xml:space="preserve">肉与肉制品 取样方法 </w:t>
      </w:r>
    </w:p>
    <w:p w14:paraId="5CCBFBF8">
      <w:pPr>
        <w:pStyle w:val="59"/>
        <w:ind w:firstLine="420"/>
      </w:pPr>
      <w:r>
        <w:rPr>
          <w:rFonts w:hint="eastAsia"/>
        </w:rPr>
        <w:t>GB/T 27643  牛胴体及鲜肉分割</w:t>
      </w:r>
    </w:p>
    <w:p w14:paraId="6F97D986">
      <w:pPr>
        <w:pStyle w:val="59"/>
        <w:ind w:firstLine="420"/>
      </w:pPr>
      <w:r>
        <w:rPr>
          <w:rFonts w:hint="eastAsia"/>
        </w:rPr>
        <w:t>GB/T 17238  鲜、冻分割牛肉</w:t>
      </w:r>
    </w:p>
    <w:p w14:paraId="783714AF">
      <w:pPr>
        <w:pStyle w:val="59"/>
        <w:ind w:firstLine="420"/>
      </w:pPr>
      <w:r>
        <w:rPr>
          <w:rFonts w:hint="eastAsia"/>
        </w:rPr>
        <w:t>GB/T 29392  畜禽肉质量分级 牛肉</w:t>
      </w:r>
    </w:p>
    <w:p w14:paraId="78B715D6">
      <w:pPr>
        <w:pStyle w:val="59"/>
        <w:ind w:firstLine="420"/>
      </w:pPr>
      <w:r>
        <w:rPr>
          <w:rFonts w:hint="eastAsia"/>
        </w:rPr>
        <w:t>GB/T  20755  畜禽肉中九种青霉素类药物残留量的测定</w:t>
      </w:r>
      <w:r>
        <w:rPr>
          <w:rFonts w:hint="eastAsia"/>
          <w:lang w:val="en-US" w:eastAsia="zh-CN"/>
        </w:rPr>
        <w:t xml:space="preserve"> </w:t>
      </w:r>
      <w:r>
        <w:rPr>
          <w:rFonts w:hint="eastAsia"/>
        </w:rPr>
        <w:t>液相色谱-串联质谱法</w:t>
      </w:r>
    </w:p>
    <w:p w14:paraId="4EDB33F5">
      <w:pPr>
        <w:pStyle w:val="59"/>
        <w:ind w:firstLine="420"/>
      </w:pPr>
      <w:r>
        <w:rPr>
          <w:rFonts w:hint="eastAsia"/>
        </w:rPr>
        <w:t>GB/T  20756  可食动物肌肉、肝脏和水产品中氯霉素、甲砜霉素和氟苯尼考残留量的测定</w:t>
      </w:r>
      <w:r>
        <w:rPr>
          <w:rFonts w:hint="eastAsia"/>
          <w:lang w:val="en-US" w:eastAsia="zh-CN"/>
        </w:rPr>
        <w:t xml:space="preserve"> </w:t>
      </w:r>
      <w:r>
        <w:rPr>
          <w:rFonts w:hint="eastAsia"/>
        </w:rPr>
        <w:t>液相色谱-串联质谱法</w:t>
      </w:r>
    </w:p>
    <w:p w14:paraId="71B40142">
      <w:pPr>
        <w:pStyle w:val="59"/>
        <w:ind w:firstLine="420"/>
      </w:pPr>
      <w:r>
        <w:rPr>
          <w:rFonts w:hint="eastAsia"/>
        </w:rPr>
        <w:t>GB/T 21311  动物源性食品中硝基呋喃类药物代谢物残留检测方法</w:t>
      </w:r>
      <w:r>
        <w:rPr>
          <w:rFonts w:hint="eastAsia"/>
          <w:lang w:val="en-US" w:eastAsia="zh-CN"/>
        </w:rPr>
        <w:t xml:space="preserve"> </w:t>
      </w:r>
      <w:r>
        <w:rPr>
          <w:rFonts w:hint="eastAsia"/>
        </w:rPr>
        <w:t>高效液相色谱法/串联质谱法</w:t>
      </w:r>
    </w:p>
    <w:p w14:paraId="2FAC92AE">
      <w:pPr>
        <w:pStyle w:val="59"/>
        <w:ind w:firstLine="420"/>
      </w:pPr>
      <w:r>
        <w:rPr>
          <w:rFonts w:hint="eastAsia"/>
        </w:rPr>
        <w:t>GB/T 21312  动物源性食品中14种喹诺酮药物残留检测方法</w:t>
      </w:r>
      <w:r>
        <w:rPr>
          <w:rFonts w:hint="eastAsia"/>
          <w:lang w:val="en-US" w:eastAsia="zh-CN"/>
        </w:rPr>
        <w:t xml:space="preserve"> </w:t>
      </w:r>
      <w:r>
        <w:rPr>
          <w:rFonts w:hint="eastAsia"/>
        </w:rPr>
        <w:t>液相色谱-质谱/质谱法</w:t>
      </w:r>
    </w:p>
    <w:p w14:paraId="0149A43C">
      <w:pPr>
        <w:pStyle w:val="59"/>
        <w:ind w:firstLine="420"/>
      </w:pPr>
      <w:r>
        <w:rPr>
          <w:rFonts w:hint="eastAsia"/>
        </w:rPr>
        <w:t>GB/T 21316  动物源性食品中磺胺类药物残留量的测定</w:t>
      </w:r>
      <w:r>
        <w:rPr>
          <w:rFonts w:hint="eastAsia"/>
          <w:lang w:val="en-US" w:eastAsia="zh-CN"/>
        </w:rPr>
        <w:t xml:space="preserve"> </w:t>
      </w:r>
      <w:r>
        <w:rPr>
          <w:rFonts w:hint="eastAsia"/>
        </w:rPr>
        <w:t>高效液相色谱-质谱/质谱法</w:t>
      </w:r>
    </w:p>
    <w:p w14:paraId="1E9F9BBC">
      <w:pPr>
        <w:pStyle w:val="59"/>
        <w:ind w:firstLine="420"/>
      </w:pPr>
      <w:r>
        <w:rPr>
          <w:rFonts w:hint="eastAsia"/>
        </w:rPr>
        <w:t>GB/T 21317  动物源性食品中四环素类兽药残留量检测方法</w:t>
      </w:r>
      <w:r>
        <w:rPr>
          <w:rFonts w:hint="eastAsia"/>
          <w:lang w:val="en-US" w:eastAsia="zh-CN"/>
        </w:rPr>
        <w:t xml:space="preserve"> </w:t>
      </w:r>
      <w:r>
        <w:rPr>
          <w:rFonts w:hint="eastAsia"/>
        </w:rPr>
        <w:t>液相色谱-质谱/质谱法与高效液相色谱法</w:t>
      </w:r>
    </w:p>
    <w:p w14:paraId="33F020BE">
      <w:pPr>
        <w:pStyle w:val="59"/>
        <w:ind w:firstLine="420"/>
      </w:pPr>
      <w:r>
        <w:rPr>
          <w:rFonts w:hint="eastAsia"/>
        </w:rPr>
        <w:t>GB/T 21981  动物源食品中激素多残留检测方法</w:t>
      </w:r>
      <w:r>
        <w:rPr>
          <w:rFonts w:hint="eastAsia"/>
          <w:lang w:val="en-US" w:eastAsia="zh-CN"/>
        </w:rPr>
        <w:t xml:space="preserve"> </w:t>
      </w:r>
      <w:r>
        <w:rPr>
          <w:rFonts w:hint="eastAsia"/>
        </w:rPr>
        <w:t>液相色谱-质谱/质谱法</w:t>
      </w:r>
    </w:p>
    <w:p w14:paraId="6D2F9754">
      <w:pPr>
        <w:pStyle w:val="107"/>
        <w:spacing w:before="312" w:after="312"/>
      </w:pPr>
      <w:bookmarkStart w:id="47" w:name="_Toc185931321"/>
      <w:r>
        <w:rPr>
          <w:rFonts w:hint="eastAsia"/>
        </w:rPr>
        <w:t>术语和定义</w:t>
      </w:r>
      <w:bookmarkEnd w:id="46"/>
      <w:bookmarkEnd w:id="47"/>
    </w:p>
    <w:sdt>
      <w:sdtPr>
        <w:id w:val="-1909835108"/>
        <w:placeholder>
          <w:docPart w:val="A1B491CB0B3E4AFAB389269BF24F0F8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E0EF133">
          <w:pPr>
            <w:pStyle w:val="59"/>
            <w:ind w:firstLine="420"/>
          </w:pPr>
          <w:bookmarkStart w:id="48" w:name="_Toc26986532"/>
          <w:bookmarkEnd w:id="48"/>
          <w:r>
            <w:t>下列术语和定义适用于本文件。</w:t>
          </w:r>
        </w:p>
      </w:sdtContent>
    </w:sdt>
    <w:p w14:paraId="6A87E0C4">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szCs w:val="21"/>
        </w:rPr>
      </w:pPr>
    </w:p>
    <w:p w14:paraId="084B5187">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szCs w:val="21"/>
        </w:rPr>
        <w:t>平度牛肉  Pingdu Beef</w:t>
      </w:r>
    </w:p>
    <w:p w14:paraId="7852C4D9">
      <w:pPr>
        <w:pStyle w:val="59"/>
        <w:ind w:firstLine="420"/>
        <w:rPr>
          <w:rFonts w:ascii="Calibri" w:hAnsi="Calibri"/>
          <w:kern w:val="2"/>
        </w:rPr>
      </w:pPr>
      <w:r>
        <w:t>来自于平度市地理标志产品保护区范围内的</w:t>
      </w:r>
      <w:r>
        <w:rPr>
          <w:rFonts w:hint="eastAsia"/>
        </w:rPr>
        <w:t>肉用牛，</w:t>
      </w:r>
      <w:r>
        <w:t>育肥</w:t>
      </w:r>
      <w:r>
        <w:rPr>
          <w:rFonts w:hint="eastAsia"/>
        </w:rPr>
        <w:t>后</w:t>
      </w:r>
      <w:r>
        <w:t>经屠宰加工生产的雪花纹浓密、口感细滑、肉香纯正</w:t>
      </w:r>
      <w:r>
        <w:rPr>
          <w:rFonts w:hint="eastAsia"/>
        </w:rPr>
        <w:t>的鲜、冻牛肉等产品。</w:t>
      </w:r>
    </w:p>
    <w:p w14:paraId="709D867E">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szCs w:val="21"/>
        </w:rPr>
      </w:pPr>
    </w:p>
    <w:p w14:paraId="14969A7A">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szCs w:val="21"/>
        </w:rPr>
        <w:t>牛柳(里脊)</w:t>
      </w:r>
      <w:r>
        <w:rPr>
          <w:rFonts w:hint="eastAsia"/>
          <w:szCs w:val="21"/>
          <w:lang w:val="en-US" w:eastAsia="zh-CN"/>
        </w:rPr>
        <w:t xml:space="preserve">  </w:t>
      </w:r>
      <w:r>
        <w:rPr>
          <w:rFonts w:hint="eastAsia"/>
          <w:szCs w:val="21"/>
        </w:rPr>
        <w:t>tenderloin</w:t>
      </w:r>
    </w:p>
    <w:p w14:paraId="4E831F1D">
      <w:pPr>
        <w:pStyle w:val="59"/>
        <w:ind w:firstLine="420"/>
        <w:rPr>
          <w:rFonts w:ascii="Times New Roman"/>
          <w:kern w:val="2"/>
        </w:rPr>
      </w:pPr>
      <w:r>
        <w:t>取自牛胴体腰部内侧带有完整里脊头的净肉。</w:t>
      </w:r>
    </w:p>
    <w:p w14:paraId="7970CA25">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rPr>
          <w:szCs w:val="21"/>
        </w:rPr>
      </w:pPr>
    </w:p>
    <w:p w14:paraId="2E0ACCCA">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szCs w:val="21"/>
        </w:rPr>
        <w:t>西冷(外脊)  striploin</w:t>
      </w:r>
    </w:p>
    <w:p w14:paraId="5C585E58">
      <w:pPr>
        <w:pStyle w:val="59"/>
        <w:ind w:firstLine="420"/>
        <w:rPr>
          <w:rFonts w:ascii="Times New Roman"/>
          <w:kern w:val="2"/>
        </w:rPr>
      </w:pPr>
      <w:r>
        <w:t>取自牛胴体从</w:t>
      </w:r>
      <w:r>
        <w:rPr>
          <w:rFonts w:ascii="Times New Roman"/>
        </w:rPr>
        <w:t>12</w:t>
      </w:r>
      <w:r>
        <w:t>～</w:t>
      </w:r>
      <w:r>
        <w:rPr>
          <w:rFonts w:ascii="Times New Roman"/>
        </w:rPr>
        <w:t>13</w:t>
      </w:r>
      <w:r>
        <w:t>胸椎椎窝中间处到第</w:t>
      </w:r>
      <w:r>
        <w:rPr>
          <w:rFonts w:ascii="Times New Roman"/>
        </w:rPr>
        <w:t>6</w:t>
      </w:r>
      <w:r>
        <w:t>腰椎外横界垂直横截，沿背最长肌下缘切开的净肉，主要是背最长肌。</w:t>
      </w:r>
    </w:p>
    <w:p w14:paraId="6DDF5DDE">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pPr>
    </w:p>
    <w:p w14:paraId="56D7EFC8">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szCs w:val="21"/>
        </w:rPr>
      </w:pPr>
      <w:r>
        <w:rPr>
          <w:rFonts w:hint="eastAsia"/>
          <w:szCs w:val="21"/>
        </w:rPr>
        <w:t>肉眼  ribeye</w:t>
      </w:r>
    </w:p>
    <w:p w14:paraId="3018DB8C">
      <w:pPr>
        <w:pStyle w:val="59"/>
        <w:ind w:firstLine="420"/>
        <w:rPr>
          <w:rFonts w:ascii="Times New Roman"/>
          <w:kern w:val="2"/>
        </w:rPr>
      </w:pPr>
      <w:r>
        <w:t>取自牛胴体第</w:t>
      </w:r>
      <w:r>
        <w:rPr>
          <w:rFonts w:ascii="Times New Roman"/>
        </w:rPr>
        <w:t>6</w:t>
      </w:r>
      <w:r>
        <w:t>胸椎到第</w:t>
      </w:r>
      <w:r>
        <w:rPr>
          <w:rFonts w:ascii="Times New Roman"/>
        </w:rPr>
        <w:t>12</w:t>
      </w:r>
      <w:r>
        <w:t>～</w:t>
      </w:r>
      <w:r>
        <w:rPr>
          <w:rFonts w:ascii="Times New Roman"/>
        </w:rPr>
        <w:t>13</w:t>
      </w:r>
      <w:r>
        <w:t>胸椎间的净肉。前端与上脑相连，后端与外脊相连，主要包括背阔肌、背最长肌、肋间肌等。</w:t>
      </w:r>
    </w:p>
    <w:p w14:paraId="0C93CC11">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pPr>
    </w:p>
    <w:p w14:paraId="5A1E023E">
      <w:pPr>
        <w:pStyle w:val="108"/>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bookmarkStart w:id="55" w:name="_GoBack"/>
      <w:r>
        <w:rPr>
          <w:rFonts w:hint="eastAsia"/>
        </w:rPr>
        <w:t>上脑  high rib</w:t>
      </w:r>
    </w:p>
    <w:bookmarkEnd w:id="55"/>
    <w:p w14:paraId="5143F610">
      <w:pPr>
        <w:pStyle w:val="59"/>
        <w:ind w:firstLine="420"/>
        <w:rPr>
          <w:rFonts w:ascii="Times New Roman"/>
          <w:kern w:val="2"/>
        </w:rPr>
      </w:pPr>
      <w:r>
        <w:t>取自牛胴体最后颈椎到第</w:t>
      </w:r>
      <w:r>
        <w:rPr>
          <w:rFonts w:ascii="Times New Roman"/>
        </w:rPr>
        <w:t>6</w:t>
      </w:r>
      <w:r>
        <w:t>胸椎间的净肉。前端始于最后颈椎后缘，后端与眼肉相连，主要包括背最长肌、斜方肌等。</w:t>
      </w:r>
    </w:p>
    <w:p w14:paraId="66E7B78A">
      <w:pPr>
        <w:pStyle w:val="108"/>
        <w:keepNext w:val="0"/>
        <w:keepLines w:val="0"/>
        <w:pageBreakBefore w:val="0"/>
        <w:widowControl/>
        <w:kinsoku/>
        <w:wordWrap/>
        <w:overflowPunct/>
        <w:topLinePunct w:val="0"/>
        <w:autoSpaceDE/>
        <w:autoSpaceDN/>
        <w:bidi w:val="0"/>
        <w:adjustRightInd/>
        <w:snapToGrid/>
        <w:spacing w:before="0" w:beforeLines="0" w:after="0" w:afterLines="0"/>
        <w:textAlignment w:val="auto"/>
      </w:pPr>
    </w:p>
    <w:p w14:paraId="7F060E65">
      <w:pPr>
        <w:pStyle w:val="108"/>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pPr>
      <w:r>
        <w:rPr>
          <w:rFonts w:hint="eastAsia"/>
        </w:rPr>
        <w:t>S腹肉</w:t>
      </w:r>
      <w:r>
        <w:rPr>
          <w:rFonts w:hint="eastAsia"/>
          <w:lang w:val="en-US" w:eastAsia="zh-CN"/>
        </w:rPr>
        <w:t xml:space="preserve">  </w:t>
      </w:r>
      <w:r>
        <w:rPr>
          <w:rFonts w:hint="eastAsia"/>
        </w:rPr>
        <w:t>S-flank</w:t>
      </w:r>
    </w:p>
    <w:p w14:paraId="70A593F6">
      <w:pPr>
        <w:pStyle w:val="59"/>
        <w:ind w:firstLine="420"/>
        <w:rPr>
          <w:rFonts w:ascii="Times New Roman"/>
          <w:kern w:val="2"/>
        </w:rPr>
      </w:pPr>
      <w:r>
        <w:t>位于牛腹部第</w:t>
      </w:r>
      <w:r>
        <w:rPr>
          <w:rFonts w:ascii="Times New Roman"/>
        </w:rPr>
        <w:t>7</w:t>
      </w:r>
      <w:r>
        <w:t>根胸肋至第</w:t>
      </w:r>
      <w:r>
        <w:rPr>
          <w:rFonts w:ascii="Times New Roman"/>
        </w:rPr>
        <w:t>9</w:t>
      </w:r>
      <w:r>
        <w:t>根胸肋之下，去除肋骨后的净肉，主要包括肋间外肌、肋间内肌</w:t>
      </w:r>
      <w:r>
        <w:rPr>
          <w:rFonts w:hint="eastAsia"/>
        </w:rPr>
        <w:t>。</w:t>
      </w:r>
    </w:p>
    <w:p w14:paraId="535D75BD">
      <w:pPr>
        <w:pStyle w:val="59"/>
        <w:ind w:firstLine="420"/>
        <w:rPr>
          <w:rFonts w:ascii="Times New Roman"/>
        </w:rPr>
      </w:pPr>
      <w:r>
        <w:rPr>
          <w:rFonts w:hint="eastAsia" w:hAnsi="宋体"/>
        </w:rPr>
        <w:t>其他分割部位牛肉名称参考</w:t>
      </w:r>
      <w:r>
        <w:rPr>
          <w:rFonts w:hint="eastAsia" w:ascii="Times New Roman"/>
        </w:rPr>
        <w:t>GB/T 17238</w:t>
      </w:r>
      <w:r>
        <w:rPr>
          <w:rFonts w:hint="eastAsia" w:hAnsi="宋体"/>
        </w:rPr>
        <w:t>。</w:t>
      </w:r>
    </w:p>
    <w:p w14:paraId="2D894FBE">
      <w:pPr>
        <w:pStyle w:val="107"/>
        <w:spacing w:before="312" w:after="312"/>
        <w:rPr>
          <w:rFonts w:ascii="Calibri" w:hAnsi="Calibri" w:eastAsia="宋体"/>
        </w:rPr>
      </w:pPr>
      <w:bookmarkStart w:id="49" w:name="_Toc185931322"/>
      <w:r>
        <w:rPr>
          <w:rFonts w:hint="eastAsia"/>
        </w:rPr>
        <w:t>保护范围</w:t>
      </w:r>
      <w:bookmarkEnd w:id="49"/>
    </w:p>
    <w:p w14:paraId="6396C899">
      <w:pPr>
        <w:pStyle w:val="59"/>
        <w:ind w:firstLine="420"/>
      </w:pPr>
      <w:r>
        <w:rPr>
          <w:rFonts w:hint="eastAsia"/>
        </w:rPr>
        <w:t>平度牛肉地理标志产品保护范围限于国家质量监督检验检疫部门根据《地理标志产品保护规定》批准的范围，平度市现所辖10处镇、街道办事处（见本标准附录A）。</w:t>
      </w:r>
    </w:p>
    <w:p w14:paraId="2996E5C6">
      <w:pPr>
        <w:pStyle w:val="108"/>
        <w:spacing w:before="156" w:after="156"/>
      </w:pPr>
      <w:r>
        <w:rPr>
          <w:rFonts w:hint="eastAsia"/>
        </w:rPr>
        <w:t>品种</w:t>
      </w:r>
    </w:p>
    <w:p w14:paraId="5736BC86">
      <w:pPr>
        <w:pStyle w:val="59"/>
        <w:ind w:firstLine="420"/>
      </w:pPr>
      <w:r>
        <w:rPr>
          <w:rFonts w:hint="eastAsia"/>
        </w:rPr>
        <w:t>鲁西黄牛及其杂交后代。</w:t>
      </w:r>
    </w:p>
    <w:p w14:paraId="12286CE0">
      <w:pPr>
        <w:pStyle w:val="107"/>
        <w:spacing w:before="312" w:after="312"/>
      </w:pPr>
      <w:bookmarkStart w:id="50" w:name="_Toc185931323"/>
      <w:r>
        <w:rPr>
          <w:rFonts w:hint="eastAsia"/>
        </w:rPr>
        <w:t>品类分级</w:t>
      </w:r>
      <w:bookmarkEnd w:id="50"/>
    </w:p>
    <w:p w14:paraId="4BFF0680">
      <w:pPr>
        <w:pStyle w:val="108"/>
        <w:spacing w:before="156" w:after="156"/>
      </w:pPr>
      <w:r>
        <w:rPr>
          <w:rFonts w:hint="eastAsia"/>
        </w:rPr>
        <w:t>产品品类</w:t>
      </w:r>
    </w:p>
    <w:p w14:paraId="72159D62">
      <w:pPr>
        <w:pStyle w:val="59"/>
        <w:ind w:firstLine="420"/>
      </w:pPr>
      <w:r>
        <w:rPr>
          <w:rFonts w:hint="eastAsia" w:hAnsi="宋体"/>
        </w:rPr>
        <w:t>分割参考GB/T 27643，鲜、冻牛肉产品执行GB/T 17238规定。</w:t>
      </w:r>
    </w:p>
    <w:p w14:paraId="108C52A0">
      <w:pPr>
        <w:pStyle w:val="108"/>
        <w:spacing w:before="156" w:after="156"/>
      </w:pPr>
      <w:r>
        <w:rPr>
          <w:rFonts w:hint="eastAsia"/>
        </w:rPr>
        <w:t xml:space="preserve"> 产品分级</w:t>
      </w:r>
    </w:p>
    <w:p w14:paraId="0D99100D">
      <w:pPr>
        <w:pStyle w:val="233"/>
      </w:pPr>
      <w:r>
        <w:rPr>
          <w:rFonts w:hint="eastAsia" w:hAnsi="宋体"/>
        </w:rPr>
        <w:t>牛肉质量分级根据GB/T 29392执行，水分含量执行GB 18394规定。</w:t>
      </w:r>
    </w:p>
    <w:p w14:paraId="097D4A82">
      <w:pPr>
        <w:pStyle w:val="107"/>
        <w:spacing w:before="312" w:after="312"/>
      </w:pPr>
      <w:r>
        <w:rPr>
          <w:rFonts w:hint="eastAsia"/>
        </w:rPr>
        <w:t xml:space="preserve"> </w:t>
      </w:r>
      <w:bookmarkStart w:id="51" w:name="_Toc185931324"/>
      <w:r>
        <w:rPr>
          <w:rFonts w:hint="eastAsia"/>
        </w:rPr>
        <w:t>产品指标</w:t>
      </w:r>
      <w:bookmarkEnd w:id="51"/>
    </w:p>
    <w:p w14:paraId="41D5DE08">
      <w:pPr>
        <w:pStyle w:val="108"/>
        <w:widowControl w:val="0"/>
        <w:spacing w:before="156" w:after="156"/>
      </w:pPr>
      <w:r>
        <w:rPr>
          <w:rFonts w:hint="eastAsia" w:hAnsi="黑体"/>
        </w:rPr>
        <w:t>感官指标</w:t>
      </w:r>
    </w:p>
    <w:p w14:paraId="72544E9D">
      <w:pPr>
        <w:pStyle w:val="59"/>
        <w:ind w:firstLine="420"/>
      </w:pPr>
      <w:r>
        <w:rPr>
          <w:rFonts w:hint="eastAsia"/>
        </w:rPr>
        <w:t>肉品符合GB/T 17238产品感官指标要求，符合GB/T 29392分级要求。</w:t>
      </w:r>
    </w:p>
    <w:p w14:paraId="03C8911D">
      <w:pPr>
        <w:pStyle w:val="59"/>
        <w:ind w:firstLine="420"/>
      </w:pPr>
      <w:r>
        <w:rPr>
          <w:rFonts w:hint="eastAsia"/>
        </w:rPr>
        <w:t>感官特色：</w:t>
      </w:r>
    </w:p>
    <w:p w14:paraId="71956E22">
      <w:pPr>
        <w:pStyle w:val="59"/>
        <w:ind w:firstLine="420"/>
      </w:pPr>
      <w:r>
        <w:rPr>
          <w:rFonts w:hint="eastAsia"/>
        </w:rPr>
        <w:t>（1）上脑：色泽深红，沉积脂肪明显，横切面呈现较明显的大理石花纹，指压后凹陷立即恢复，表面湿润不粘手，煮沸后肉汤透明，口感瘦而不柴。</w:t>
      </w:r>
    </w:p>
    <w:p w14:paraId="68E95C0A">
      <w:pPr>
        <w:pStyle w:val="59"/>
        <w:ind w:firstLine="420"/>
      </w:pPr>
      <w:r>
        <w:rPr>
          <w:rFonts w:hint="eastAsia"/>
        </w:rPr>
        <w:t>（</w:t>
      </w:r>
      <w:r>
        <w:rPr>
          <w:rFonts w:hint="eastAsia"/>
          <w:lang w:val="en-US" w:eastAsia="zh-CN"/>
        </w:rPr>
        <w:t>2</w:t>
      </w:r>
      <w:r>
        <w:rPr>
          <w:rFonts w:hint="eastAsia"/>
        </w:rPr>
        <w:t>）肉眼：色泽鲜红，有光泽，外油层较厚，横切面呈眼状，指压后凹陷立即恢复，表面湿润不粘手，煮沸后肉汤澄清，脂肪团聚于表面，有香味，口感肥而不腻。</w:t>
      </w:r>
    </w:p>
    <w:p w14:paraId="06C0C59F">
      <w:pPr>
        <w:pStyle w:val="59"/>
        <w:ind w:firstLine="420"/>
      </w:pPr>
      <w:r>
        <w:rPr>
          <w:rFonts w:hint="eastAsia"/>
        </w:rPr>
        <w:t>（</w:t>
      </w:r>
      <w:r>
        <w:rPr>
          <w:rFonts w:hint="eastAsia"/>
          <w:lang w:val="en-US" w:eastAsia="zh-CN"/>
        </w:rPr>
        <w:t>3</w:t>
      </w:r>
      <w:r>
        <w:rPr>
          <w:rFonts w:hint="eastAsia"/>
        </w:rPr>
        <w:t>）西冷：色泽淡红，大理石花纹分布均匀，指压后凹陷立即恢复，表面湿润不粘手，煮沸后肉汤透明，脂肪团聚于表面，有香味，口感弹性足。</w:t>
      </w:r>
    </w:p>
    <w:p w14:paraId="4EAE8435">
      <w:pPr>
        <w:pStyle w:val="59"/>
        <w:ind w:firstLine="420"/>
      </w:pPr>
      <w:r>
        <w:rPr>
          <w:rFonts w:hint="eastAsia"/>
        </w:rPr>
        <w:t>（</w:t>
      </w:r>
      <w:r>
        <w:rPr>
          <w:rFonts w:hint="eastAsia"/>
          <w:lang w:val="en-US" w:eastAsia="zh-CN"/>
        </w:rPr>
        <w:t>4</w:t>
      </w:r>
      <w:r>
        <w:rPr>
          <w:rFonts w:hint="eastAsia"/>
        </w:rPr>
        <w:t>）牛柳：色泽鲜红，有光泽，脂肪呈雪花样沉积，指压后凹陷立即恢复，表面湿润不粘手，煮沸后肉汤透明，口感细嫩。</w:t>
      </w:r>
    </w:p>
    <w:p w14:paraId="6AFCE1B6">
      <w:pPr>
        <w:pStyle w:val="59"/>
        <w:ind w:firstLine="420"/>
      </w:pPr>
      <w:r>
        <w:rPr>
          <w:rFonts w:hint="eastAsia"/>
        </w:rPr>
        <w:t>（5）S腹肉：色泽红润，脂肪分层沉积，指压后凹陷立即恢复，表面湿润不粘手，煮沸后肉汤透明，口感细滑。</w:t>
      </w:r>
    </w:p>
    <w:p w14:paraId="5EF7214A">
      <w:pPr>
        <w:pStyle w:val="108"/>
        <w:spacing w:before="156" w:after="156"/>
        <w:rPr>
          <w:szCs w:val="21"/>
        </w:rPr>
      </w:pPr>
      <w:r>
        <w:rPr>
          <w:rFonts w:hint="eastAsia"/>
        </w:rPr>
        <w:t>理化指标</w:t>
      </w:r>
    </w:p>
    <w:p w14:paraId="7D480929">
      <w:pPr>
        <w:pStyle w:val="115"/>
        <w:spacing w:before="156" w:after="156"/>
      </w:pPr>
      <w:r>
        <w:rPr>
          <w:rFonts w:hint="eastAsia"/>
        </w:rPr>
        <w:t>理化指标</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141"/>
        <w:gridCol w:w="1142"/>
        <w:gridCol w:w="1336"/>
        <w:gridCol w:w="1179"/>
        <w:gridCol w:w="1283"/>
        <w:gridCol w:w="1253"/>
      </w:tblGrid>
      <w:tr w14:paraId="3A8546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3141" w:type="dxa"/>
            <w:vMerge w:val="restart"/>
            <w:shd w:val="clear" w:color="auto" w:fill="auto"/>
          </w:tcPr>
          <w:p w14:paraId="5DC005BF">
            <w:pPr>
              <w:pStyle w:val="238"/>
              <w:spacing w:before="156" w:after="156"/>
              <w:jc w:val="center"/>
              <w:rPr>
                <w:rFonts w:ascii="Times New Roman" w:hAnsi="Times New Roman" w:cs="Times New Roman"/>
                <w:color w:val="333333"/>
                <w:sz w:val="18"/>
                <w:szCs w:val="18"/>
              </w:rPr>
            </w:pPr>
            <w:r>
              <w:rPr>
                <w:rFonts w:cs="Times New Roman"/>
                <w:color w:val="333333"/>
                <w:sz w:val="18"/>
                <w:szCs w:val="18"/>
              </w:rPr>
              <w:t>项目</w:t>
            </w:r>
          </w:p>
          <w:p w14:paraId="28FAC554">
            <w:pPr>
              <w:pStyle w:val="238"/>
              <w:spacing w:before="156" w:after="156"/>
              <w:jc w:val="center"/>
            </w:pPr>
            <w:r>
              <w:rPr>
                <w:rFonts w:hint="eastAsia" w:cs="Times New Roman"/>
                <w:color w:val="333333"/>
                <w:sz w:val="18"/>
                <w:szCs w:val="18"/>
              </w:rPr>
              <w:t>（</w:t>
            </w:r>
            <w:r>
              <w:rPr>
                <w:rFonts w:cs="Times New Roman"/>
                <w:color w:val="333333"/>
                <w:sz w:val="18"/>
                <w:szCs w:val="18"/>
              </w:rPr>
              <w:t>牛肉</w:t>
            </w:r>
            <w:r>
              <w:rPr>
                <w:rFonts w:hint="eastAsia" w:cs="Times New Roman"/>
                <w:color w:val="333333"/>
                <w:sz w:val="18"/>
                <w:szCs w:val="18"/>
              </w:rPr>
              <w:t>，水分≤</w:t>
            </w:r>
            <w:r>
              <w:rPr>
                <w:rFonts w:hint="eastAsia" w:ascii="Times New Roman" w:hAnsi="Times New Roman" w:cs="Times New Roman"/>
                <w:color w:val="333333"/>
                <w:sz w:val="18"/>
                <w:szCs w:val="18"/>
              </w:rPr>
              <w:t>77.0mg/</w:t>
            </w:r>
            <w:r>
              <w:rPr>
                <w:rFonts w:ascii="Times New Roman" w:hAnsi="Times New Roman" w:cs="Times New Roman"/>
                <w:color w:val="333333"/>
                <w:sz w:val="18"/>
                <w:szCs w:val="18"/>
              </w:rPr>
              <w:t>100</w:t>
            </w:r>
            <w:r>
              <w:rPr>
                <w:rFonts w:hint="eastAsia" w:ascii="Times New Roman" w:hAnsi="Times New Roman" w:cs="Times New Roman"/>
                <w:color w:val="333333"/>
                <w:sz w:val="18"/>
                <w:szCs w:val="18"/>
              </w:rPr>
              <w:t>g</w:t>
            </w:r>
            <w:r>
              <w:rPr>
                <w:rFonts w:hint="eastAsia" w:cs="Times New Roman"/>
                <w:color w:val="333333"/>
                <w:sz w:val="18"/>
                <w:szCs w:val="18"/>
              </w:rPr>
              <w:t>）</w:t>
            </w:r>
          </w:p>
        </w:tc>
        <w:tc>
          <w:tcPr>
            <w:tcW w:w="6193" w:type="dxa"/>
            <w:gridSpan w:val="5"/>
            <w:shd w:val="clear" w:color="auto" w:fill="auto"/>
          </w:tcPr>
          <w:p w14:paraId="0F25C519">
            <w:pPr>
              <w:pStyle w:val="238"/>
              <w:spacing w:before="156" w:after="156"/>
              <w:jc w:val="center"/>
            </w:pPr>
            <w:r>
              <w:rPr>
                <w:rFonts w:cs="Times New Roman"/>
                <w:color w:val="333333"/>
                <w:sz w:val="18"/>
                <w:szCs w:val="18"/>
              </w:rPr>
              <w:t>指标</w:t>
            </w:r>
          </w:p>
        </w:tc>
      </w:tr>
      <w:tr w14:paraId="1DF0AA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0" w:type="auto"/>
            <w:vMerge w:val="continue"/>
            <w:shd w:val="clear" w:color="auto" w:fill="auto"/>
            <w:vAlign w:val="center"/>
          </w:tcPr>
          <w:p w14:paraId="4CA3E905">
            <w:pPr>
              <w:widowControl/>
              <w:adjustRightInd/>
              <w:spacing w:line="240" w:lineRule="auto"/>
              <w:jc w:val="left"/>
              <w:rPr>
                <w:rFonts w:ascii="黑体" w:hAnsi="黑体" w:eastAsia="黑体" w:cs="宋体"/>
                <w:kern w:val="0"/>
              </w:rPr>
            </w:pPr>
          </w:p>
        </w:tc>
        <w:tc>
          <w:tcPr>
            <w:tcW w:w="1142" w:type="dxa"/>
            <w:shd w:val="clear" w:color="auto" w:fill="auto"/>
            <w:vAlign w:val="center"/>
          </w:tcPr>
          <w:p w14:paraId="64712ADE">
            <w:pPr>
              <w:pStyle w:val="26"/>
              <w:widowControl/>
              <w:wordWrap w:val="0"/>
              <w:spacing w:before="0" w:beforeAutospacing="0" w:after="0" w:afterAutospacing="0" w:line="560" w:lineRule="exact"/>
              <w:jc w:val="center"/>
            </w:pPr>
            <w:r>
              <w:rPr>
                <w:rFonts w:ascii="宋体" w:hAnsi="宋体"/>
                <w:color w:val="333333"/>
                <w:sz w:val="18"/>
                <w:szCs w:val="18"/>
              </w:rPr>
              <w:t>上脑</w:t>
            </w:r>
          </w:p>
        </w:tc>
        <w:tc>
          <w:tcPr>
            <w:tcW w:w="1336" w:type="dxa"/>
            <w:shd w:val="clear" w:color="auto" w:fill="auto"/>
            <w:vAlign w:val="center"/>
          </w:tcPr>
          <w:p w14:paraId="49071D6D">
            <w:pPr>
              <w:pStyle w:val="26"/>
              <w:widowControl/>
              <w:wordWrap w:val="0"/>
              <w:spacing w:before="0" w:beforeAutospacing="0" w:after="0" w:afterAutospacing="0" w:line="560" w:lineRule="exact"/>
              <w:jc w:val="center"/>
            </w:pPr>
            <w:r>
              <w:rPr>
                <w:rFonts w:ascii="宋体" w:hAnsi="宋体"/>
                <w:color w:val="333333"/>
                <w:sz w:val="18"/>
                <w:szCs w:val="18"/>
              </w:rPr>
              <w:t>肉眼</w:t>
            </w:r>
          </w:p>
        </w:tc>
        <w:tc>
          <w:tcPr>
            <w:tcW w:w="1179" w:type="dxa"/>
            <w:shd w:val="clear" w:color="auto" w:fill="auto"/>
            <w:vAlign w:val="center"/>
          </w:tcPr>
          <w:p w14:paraId="5FDFC36F">
            <w:pPr>
              <w:pStyle w:val="26"/>
              <w:widowControl/>
              <w:wordWrap w:val="0"/>
              <w:spacing w:before="0" w:beforeAutospacing="0" w:after="0" w:afterAutospacing="0" w:line="560" w:lineRule="exact"/>
              <w:jc w:val="center"/>
            </w:pPr>
            <w:r>
              <w:rPr>
                <w:rFonts w:ascii="宋体" w:hAnsi="宋体"/>
                <w:color w:val="333333"/>
                <w:sz w:val="18"/>
                <w:szCs w:val="18"/>
              </w:rPr>
              <w:t>西冷</w:t>
            </w:r>
          </w:p>
        </w:tc>
        <w:tc>
          <w:tcPr>
            <w:tcW w:w="1283" w:type="dxa"/>
            <w:shd w:val="clear" w:color="auto" w:fill="auto"/>
            <w:vAlign w:val="center"/>
          </w:tcPr>
          <w:p w14:paraId="1139D4AB">
            <w:pPr>
              <w:pStyle w:val="26"/>
              <w:widowControl/>
              <w:wordWrap w:val="0"/>
              <w:spacing w:before="0" w:beforeAutospacing="0" w:after="0" w:afterAutospacing="0" w:line="560" w:lineRule="exact"/>
              <w:jc w:val="center"/>
            </w:pPr>
            <w:r>
              <w:rPr>
                <w:rFonts w:ascii="宋体" w:hAnsi="宋体"/>
                <w:color w:val="333333"/>
                <w:sz w:val="18"/>
                <w:szCs w:val="18"/>
              </w:rPr>
              <w:t>牛柳</w:t>
            </w:r>
          </w:p>
        </w:tc>
        <w:tc>
          <w:tcPr>
            <w:tcW w:w="1253" w:type="dxa"/>
            <w:shd w:val="clear" w:color="auto" w:fill="auto"/>
            <w:vAlign w:val="center"/>
          </w:tcPr>
          <w:p w14:paraId="7847126E">
            <w:pPr>
              <w:pStyle w:val="26"/>
              <w:widowControl/>
              <w:wordWrap w:val="0"/>
              <w:spacing w:before="0" w:beforeAutospacing="0" w:after="0" w:afterAutospacing="0" w:line="560" w:lineRule="exact"/>
              <w:jc w:val="center"/>
            </w:pPr>
            <w:r>
              <w:rPr>
                <w:rFonts w:ascii="Times New Roman" w:hAnsi="Times New Roman"/>
                <w:color w:val="333333"/>
                <w:sz w:val="18"/>
                <w:szCs w:val="18"/>
              </w:rPr>
              <w:t>S</w:t>
            </w:r>
            <w:r>
              <w:rPr>
                <w:rFonts w:ascii="宋体" w:hAnsi="宋体"/>
                <w:color w:val="333333"/>
                <w:sz w:val="18"/>
                <w:szCs w:val="18"/>
              </w:rPr>
              <w:t>腹肉</w:t>
            </w:r>
          </w:p>
        </w:tc>
      </w:tr>
      <w:tr w14:paraId="449660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3141" w:type="dxa"/>
            <w:shd w:val="clear" w:color="auto" w:fill="auto"/>
            <w:vAlign w:val="center"/>
          </w:tcPr>
          <w:p w14:paraId="5F681EB2">
            <w:pPr>
              <w:pStyle w:val="238"/>
              <w:spacing w:before="156" w:after="156"/>
              <w:jc w:val="center"/>
            </w:pPr>
            <w:r>
              <w:rPr>
                <w:rFonts w:cs="Times New Roman"/>
                <w:color w:val="333333"/>
                <w:sz w:val="18"/>
                <w:szCs w:val="18"/>
              </w:rPr>
              <w:t>挥发性盐基氮，</w:t>
            </w:r>
            <w:r>
              <w:rPr>
                <w:rFonts w:ascii="Times New Roman" w:hAnsi="Times New Roman" w:cs="Times New Roman"/>
                <w:color w:val="333333"/>
                <w:sz w:val="18"/>
                <w:szCs w:val="18"/>
              </w:rPr>
              <w:t>(</w:t>
            </w:r>
            <w:r>
              <w:rPr>
                <w:rFonts w:hint="eastAsia" w:ascii="Times New Roman" w:hAnsi="Times New Roman" w:cs="Times New Roman"/>
                <w:color w:val="333333"/>
                <w:sz w:val="18"/>
                <w:szCs w:val="18"/>
              </w:rPr>
              <w:t>mg/</w:t>
            </w:r>
            <w:r>
              <w:rPr>
                <w:rFonts w:ascii="Times New Roman" w:hAnsi="Times New Roman" w:cs="Times New Roman"/>
                <w:color w:val="333333"/>
                <w:sz w:val="18"/>
                <w:szCs w:val="18"/>
              </w:rPr>
              <w:t>100</w:t>
            </w:r>
            <w:r>
              <w:rPr>
                <w:rFonts w:hint="eastAsia" w:ascii="Times New Roman" w:hAnsi="Times New Roman" w:cs="Times New Roman"/>
                <w:color w:val="333333"/>
                <w:sz w:val="18"/>
                <w:szCs w:val="18"/>
              </w:rPr>
              <w:t>g</w:t>
            </w:r>
            <w:r>
              <w:rPr>
                <w:rFonts w:ascii="Times New Roman" w:hAnsi="Times New Roman" w:cs="Times New Roman"/>
                <w:color w:val="333333"/>
                <w:sz w:val="18"/>
                <w:szCs w:val="18"/>
              </w:rPr>
              <w:t>)</w:t>
            </w:r>
            <w:r>
              <w:rPr>
                <w:rFonts w:hint="eastAsia" w:cs="Times New Roman"/>
                <w:color w:val="333333"/>
                <w:sz w:val="18"/>
                <w:szCs w:val="18"/>
              </w:rPr>
              <w:t>≤</w:t>
            </w:r>
          </w:p>
        </w:tc>
        <w:tc>
          <w:tcPr>
            <w:tcW w:w="1142" w:type="dxa"/>
            <w:shd w:val="clear" w:color="auto" w:fill="auto"/>
            <w:vAlign w:val="top"/>
          </w:tcPr>
          <w:p w14:paraId="0BADA6CA">
            <w:pPr>
              <w:pStyle w:val="26"/>
              <w:widowControl/>
              <w:wordWrap w:val="0"/>
              <w:spacing w:before="0" w:beforeAutospacing="0" w:after="0" w:afterAutospacing="0" w:line="560" w:lineRule="exact"/>
              <w:jc w:val="center"/>
            </w:pPr>
            <w:r>
              <w:rPr>
                <w:rFonts w:hint="eastAsia" w:ascii="Times New Roman" w:hAnsi="Times New Roman"/>
                <w:color w:val="333333"/>
                <w:sz w:val="18"/>
                <w:szCs w:val="18"/>
              </w:rPr>
              <w:t>10</w:t>
            </w:r>
          </w:p>
        </w:tc>
        <w:tc>
          <w:tcPr>
            <w:tcW w:w="1336" w:type="dxa"/>
            <w:shd w:val="clear" w:color="auto" w:fill="auto"/>
            <w:vAlign w:val="top"/>
          </w:tcPr>
          <w:p w14:paraId="082794E1">
            <w:pPr>
              <w:pStyle w:val="26"/>
              <w:widowControl/>
              <w:wordWrap w:val="0"/>
              <w:spacing w:before="0" w:beforeAutospacing="0" w:after="0" w:afterAutospacing="0" w:line="560" w:lineRule="exact"/>
              <w:jc w:val="center"/>
            </w:pPr>
            <w:r>
              <w:rPr>
                <w:rFonts w:hint="eastAsia" w:ascii="Times New Roman" w:hAnsi="Times New Roman"/>
                <w:color w:val="333333"/>
                <w:sz w:val="18"/>
                <w:szCs w:val="18"/>
              </w:rPr>
              <w:t>10</w:t>
            </w:r>
          </w:p>
        </w:tc>
        <w:tc>
          <w:tcPr>
            <w:tcW w:w="1179" w:type="dxa"/>
            <w:shd w:val="clear" w:color="auto" w:fill="auto"/>
            <w:vAlign w:val="top"/>
          </w:tcPr>
          <w:p w14:paraId="4E659237">
            <w:pPr>
              <w:pStyle w:val="26"/>
              <w:widowControl/>
              <w:wordWrap w:val="0"/>
              <w:spacing w:before="0" w:beforeAutospacing="0" w:after="0" w:afterAutospacing="0" w:line="560" w:lineRule="exact"/>
              <w:jc w:val="center"/>
            </w:pPr>
            <w:r>
              <w:rPr>
                <w:rFonts w:hint="eastAsia" w:ascii="Times New Roman" w:hAnsi="Times New Roman"/>
                <w:color w:val="333333"/>
                <w:sz w:val="18"/>
                <w:szCs w:val="18"/>
              </w:rPr>
              <w:t>10</w:t>
            </w:r>
          </w:p>
        </w:tc>
        <w:tc>
          <w:tcPr>
            <w:tcW w:w="1283" w:type="dxa"/>
            <w:shd w:val="clear" w:color="auto" w:fill="auto"/>
            <w:vAlign w:val="top"/>
          </w:tcPr>
          <w:p w14:paraId="75DF93E7">
            <w:pPr>
              <w:pStyle w:val="26"/>
              <w:widowControl/>
              <w:wordWrap w:val="0"/>
              <w:spacing w:before="0" w:beforeAutospacing="0" w:after="0" w:afterAutospacing="0" w:line="560" w:lineRule="exact"/>
              <w:jc w:val="center"/>
            </w:pPr>
            <w:r>
              <w:rPr>
                <w:rFonts w:hint="eastAsia" w:ascii="Times New Roman" w:hAnsi="Times New Roman"/>
                <w:color w:val="333333"/>
                <w:sz w:val="18"/>
                <w:szCs w:val="18"/>
              </w:rPr>
              <w:t>10</w:t>
            </w:r>
          </w:p>
        </w:tc>
        <w:tc>
          <w:tcPr>
            <w:tcW w:w="1253" w:type="dxa"/>
            <w:shd w:val="clear" w:color="auto" w:fill="auto"/>
            <w:vAlign w:val="top"/>
          </w:tcPr>
          <w:p w14:paraId="46033B4D">
            <w:pPr>
              <w:pStyle w:val="26"/>
              <w:widowControl/>
              <w:wordWrap w:val="0"/>
              <w:spacing w:before="0" w:beforeAutospacing="0" w:after="0" w:afterAutospacing="0" w:line="560" w:lineRule="exact"/>
              <w:jc w:val="center"/>
            </w:pPr>
            <w:r>
              <w:rPr>
                <w:rFonts w:hint="eastAsia" w:ascii="Times New Roman" w:hAnsi="Times New Roman"/>
                <w:color w:val="333333"/>
                <w:sz w:val="18"/>
                <w:szCs w:val="18"/>
              </w:rPr>
              <w:t>10</w:t>
            </w:r>
          </w:p>
        </w:tc>
      </w:tr>
      <w:tr w14:paraId="6A5186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41" w:type="dxa"/>
            <w:shd w:val="clear" w:color="auto" w:fill="auto"/>
            <w:vAlign w:val="center"/>
          </w:tcPr>
          <w:p w14:paraId="7271BBE2">
            <w:pPr>
              <w:pStyle w:val="238"/>
              <w:spacing w:before="156" w:after="156"/>
              <w:jc w:val="center"/>
            </w:pPr>
            <w:r>
              <w:rPr>
                <w:rFonts w:cs="Times New Roman"/>
                <w:color w:val="333333"/>
                <w:sz w:val="18"/>
                <w:szCs w:val="18"/>
              </w:rPr>
              <w:t>蛋白质</w:t>
            </w:r>
            <w:r>
              <w:rPr>
                <w:rFonts w:ascii="Times New Roman" w:hAnsi="Times New Roman" w:cs="Times New Roman"/>
                <w:color w:val="333333"/>
                <w:sz w:val="18"/>
                <w:szCs w:val="18"/>
              </w:rPr>
              <w:t>(</w:t>
            </w:r>
            <w:r>
              <w:rPr>
                <w:rFonts w:hint="eastAsia" w:ascii="Times New Roman" w:hAnsi="Times New Roman" w:cs="Times New Roman"/>
                <w:color w:val="333333"/>
                <w:sz w:val="18"/>
                <w:szCs w:val="18"/>
              </w:rPr>
              <w:t>g</w:t>
            </w:r>
            <w:r>
              <w:rPr>
                <w:rFonts w:ascii="Times New Roman" w:hAnsi="Times New Roman" w:cs="Times New Roman"/>
                <w:color w:val="333333"/>
                <w:sz w:val="18"/>
                <w:szCs w:val="18"/>
              </w:rPr>
              <w:t>/100</w:t>
            </w:r>
            <w:r>
              <w:rPr>
                <w:rFonts w:hint="eastAsia" w:ascii="Times New Roman" w:hAnsi="Times New Roman" w:cs="Times New Roman"/>
                <w:color w:val="333333"/>
                <w:sz w:val="18"/>
                <w:szCs w:val="18"/>
              </w:rPr>
              <w:t>g</w:t>
            </w:r>
            <w:r>
              <w:rPr>
                <w:rFonts w:ascii="Times New Roman" w:hAnsi="Times New Roman" w:cs="Times New Roman"/>
                <w:color w:val="333333"/>
                <w:sz w:val="18"/>
                <w:szCs w:val="18"/>
              </w:rPr>
              <w:t>)</w:t>
            </w:r>
          </w:p>
        </w:tc>
        <w:tc>
          <w:tcPr>
            <w:tcW w:w="1142" w:type="dxa"/>
            <w:shd w:val="clear" w:color="auto" w:fill="auto"/>
            <w:vAlign w:val="top"/>
          </w:tcPr>
          <w:p w14:paraId="0F222EF2">
            <w:pPr>
              <w:pStyle w:val="26"/>
              <w:widowControl/>
              <w:wordWrap w:val="0"/>
              <w:spacing w:before="0" w:beforeAutospacing="0" w:after="0" w:afterAutospacing="0" w:line="560" w:lineRule="exact"/>
              <w:jc w:val="center"/>
            </w:pPr>
            <w:r>
              <w:rPr>
                <w:rFonts w:ascii="Times New Roman" w:hAnsi="Times New Roman"/>
                <w:color w:val="333333"/>
                <w:sz w:val="18"/>
                <w:szCs w:val="18"/>
              </w:rPr>
              <w:t>15</w:t>
            </w:r>
            <w:r>
              <w:rPr>
                <w:rFonts w:ascii="宋体" w:hAnsi="宋体"/>
                <w:color w:val="333333"/>
                <w:sz w:val="18"/>
                <w:szCs w:val="18"/>
              </w:rPr>
              <w:t>～</w:t>
            </w:r>
            <w:r>
              <w:rPr>
                <w:rFonts w:ascii="Times New Roman" w:hAnsi="Times New Roman"/>
                <w:color w:val="333333"/>
                <w:sz w:val="18"/>
                <w:szCs w:val="18"/>
              </w:rPr>
              <w:t>20</w:t>
            </w:r>
          </w:p>
        </w:tc>
        <w:tc>
          <w:tcPr>
            <w:tcW w:w="1336" w:type="dxa"/>
            <w:shd w:val="clear" w:color="auto" w:fill="auto"/>
            <w:vAlign w:val="top"/>
          </w:tcPr>
          <w:p w14:paraId="02EBCAEF">
            <w:pPr>
              <w:pStyle w:val="26"/>
              <w:widowControl/>
              <w:wordWrap w:val="0"/>
              <w:spacing w:before="0" w:beforeAutospacing="0" w:after="0" w:afterAutospacing="0" w:line="560" w:lineRule="exact"/>
              <w:jc w:val="center"/>
            </w:pPr>
            <w:r>
              <w:rPr>
                <w:rFonts w:ascii="Times New Roman" w:hAnsi="Times New Roman"/>
                <w:color w:val="333333"/>
                <w:sz w:val="18"/>
                <w:szCs w:val="18"/>
              </w:rPr>
              <w:t>15</w:t>
            </w:r>
            <w:r>
              <w:rPr>
                <w:rFonts w:ascii="宋体" w:hAnsi="宋体"/>
                <w:color w:val="333333"/>
                <w:sz w:val="18"/>
                <w:szCs w:val="18"/>
              </w:rPr>
              <w:t>～</w:t>
            </w:r>
            <w:r>
              <w:rPr>
                <w:rFonts w:ascii="Times New Roman" w:hAnsi="Times New Roman"/>
                <w:color w:val="333333"/>
                <w:sz w:val="18"/>
                <w:szCs w:val="18"/>
              </w:rPr>
              <w:t>20</w:t>
            </w:r>
          </w:p>
        </w:tc>
        <w:tc>
          <w:tcPr>
            <w:tcW w:w="1179" w:type="dxa"/>
            <w:shd w:val="clear" w:color="auto" w:fill="auto"/>
            <w:vAlign w:val="top"/>
          </w:tcPr>
          <w:p w14:paraId="59704D73">
            <w:pPr>
              <w:pStyle w:val="26"/>
              <w:widowControl/>
              <w:wordWrap w:val="0"/>
              <w:spacing w:before="0" w:beforeAutospacing="0" w:after="0" w:afterAutospacing="0" w:line="560" w:lineRule="exact"/>
              <w:jc w:val="center"/>
            </w:pPr>
            <w:r>
              <w:rPr>
                <w:rFonts w:ascii="Times New Roman" w:hAnsi="Times New Roman"/>
                <w:color w:val="333333"/>
                <w:sz w:val="18"/>
                <w:szCs w:val="18"/>
              </w:rPr>
              <w:t>18</w:t>
            </w:r>
            <w:r>
              <w:rPr>
                <w:rFonts w:ascii="宋体" w:hAnsi="宋体"/>
                <w:color w:val="333333"/>
                <w:sz w:val="18"/>
                <w:szCs w:val="18"/>
              </w:rPr>
              <w:t>～</w:t>
            </w:r>
            <w:r>
              <w:rPr>
                <w:rFonts w:ascii="Times New Roman" w:hAnsi="Times New Roman"/>
                <w:color w:val="333333"/>
                <w:sz w:val="18"/>
                <w:szCs w:val="18"/>
              </w:rPr>
              <w:t>23</w:t>
            </w:r>
          </w:p>
        </w:tc>
        <w:tc>
          <w:tcPr>
            <w:tcW w:w="1283" w:type="dxa"/>
            <w:shd w:val="clear" w:color="auto" w:fill="auto"/>
            <w:vAlign w:val="top"/>
          </w:tcPr>
          <w:p w14:paraId="4A09B073">
            <w:pPr>
              <w:pStyle w:val="26"/>
              <w:widowControl/>
              <w:wordWrap w:val="0"/>
              <w:spacing w:before="0" w:beforeAutospacing="0" w:after="0" w:afterAutospacing="0" w:line="560" w:lineRule="exact"/>
              <w:jc w:val="center"/>
            </w:pPr>
            <w:r>
              <w:rPr>
                <w:rFonts w:ascii="Times New Roman" w:hAnsi="Times New Roman"/>
                <w:color w:val="333333"/>
                <w:sz w:val="18"/>
                <w:szCs w:val="18"/>
              </w:rPr>
              <w:t>18</w:t>
            </w:r>
            <w:r>
              <w:rPr>
                <w:rFonts w:ascii="宋体" w:hAnsi="宋体"/>
                <w:color w:val="333333"/>
                <w:sz w:val="18"/>
                <w:szCs w:val="18"/>
              </w:rPr>
              <w:t>～</w:t>
            </w:r>
            <w:r>
              <w:rPr>
                <w:rFonts w:ascii="Times New Roman" w:hAnsi="Times New Roman"/>
                <w:color w:val="333333"/>
                <w:sz w:val="18"/>
                <w:szCs w:val="18"/>
              </w:rPr>
              <w:t>23</w:t>
            </w:r>
          </w:p>
        </w:tc>
        <w:tc>
          <w:tcPr>
            <w:tcW w:w="1253" w:type="dxa"/>
            <w:shd w:val="clear" w:color="auto" w:fill="auto"/>
            <w:vAlign w:val="top"/>
          </w:tcPr>
          <w:p w14:paraId="05EC99FB">
            <w:pPr>
              <w:pStyle w:val="26"/>
              <w:widowControl/>
              <w:wordWrap w:val="0"/>
              <w:spacing w:before="0" w:beforeAutospacing="0" w:after="0" w:afterAutospacing="0" w:line="560" w:lineRule="exact"/>
              <w:jc w:val="center"/>
            </w:pPr>
            <w:r>
              <w:rPr>
                <w:rFonts w:ascii="Times New Roman" w:hAnsi="Times New Roman"/>
                <w:color w:val="333333"/>
                <w:sz w:val="18"/>
                <w:szCs w:val="18"/>
              </w:rPr>
              <w:t>17</w:t>
            </w:r>
            <w:r>
              <w:rPr>
                <w:rFonts w:ascii="宋体" w:hAnsi="宋体"/>
                <w:color w:val="333333"/>
                <w:sz w:val="18"/>
                <w:szCs w:val="18"/>
              </w:rPr>
              <w:t>～</w:t>
            </w:r>
            <w:r>
              <w:rPr>
                <w:rFonts w:ascii="Times New Roman" w:hAnsi="Times New Roman"/>
                <w:color w:val="333333"/>
                <w:sz w:val="18"/>
                <w:szCs w:val="18"/>
              </w:rPr>
              <w:t>22</w:t>
            </w:r>
          </w:p>
        </w:tc>
      </w:tr>
    </w:tbl>
    <w:p w14:paraId="324584C6">
      <w:pPr>
        <w:pStyle w:val="108"/>
        <w:spacing w:before="156" w:after="156"/>
        <w:rPr>
          <w:szCs w:val="21"/>
        </w:rPr>
      </w:pPr>
      <w:r>
        <w:rPr>
          <w:rFonts w:hint="eastAsia"/>
        </w:rPr>
        <w:t>卫生指标</w:t>
      </w:r>
    </w:p>
    <w:p w14:paraId="27565C56">
      <w:pPr>
        <w:pStyle w:val="59"/>
        <w:ind w:firstLine="420"/>
      </w:pPr>
      <w:r>
        <w:rPr>
          <w:rFonts w:hint="eastAsia"/>
        </w:rPr>
        <w:t>污染物限量应符合GB 2762的规定。</w:t>
      </w:r>
    </w:p>
    <w:p w14:paraId="4247B13E">
      <w:pPr>
        <w:pStyle w:val="59"/>
        <w:ind w:firstLine="420"/>
      </w:pPr>
      <w:r>
        <w:rPr>
          <w:rFonts w:hint="eastAsia"/>
        </w:rPr>
        <w:t>农药最大残留限量应符合GB 2763的规定。</w:t>
      </w:r>
    </w:p>
    <w:p w14:paraId="0062BE49">
      <w:pPr>
        <w:pStyle w:val="59"/>
        <w:ind w:firstLine="420"/>
      </w:pPr>
      <w:r>
        <w:rPr>
          <w:rFonts w:hint="eastAsia"/>
        </w:rPr>
        <w:t>兽药最大残留限量应符合GB 31650，GB31650.1的规定。</w:t>
      </w:r>
    </w:p>
    <w:p w14:paraId="04FF06E0">
      <w:pPr>
        <w:pStyle w:val="107"/>
        <w:spacing w:before="312" w:after="312"/>
      </w:pPr>
      <w:bookmarkStart w:id="52" w:name="_Toc185931325"/>
      <w:r>
        <w:rPr>
          <w:rFonts w:hint="eastAsia"/>
        </w:rPr>
        <w:t>检验规则</w:t>
      </w:r>
      <w:bookmarkEnd w:id="52"/>
    </w:p>
    <w:p w14:paraId="4DF8741D">
      <w:pPr>
        <w:pStyle w:val="108"/>
        <w:spacing w:before="156" w:after="156"/>
        <w:rPr>
          <w:rFonts w:ascii="宋体" w:eastAsia="宋体"/>
        </w:rPr>
      </w:pPr>
      <w:r>
        <w:rPr>
          <w:rFonts w:hint="eastAsia"/>
        </w:rPr>
        <w:t>抽样</w:t>
      </w:r>
    </w:p>
    <w:p w14:paraId="74C2DE5C">
      <w:pPr>
        <w:pStyle w:val="59"/>
        <w:ind w:firstLine="420"/>
      </w:pPr>
      <w:r>
        <w:rPr>
          <w:rFonts w:hint="eastAsia"/>
        </w:rPr>
        <w:t>理化指标检验需要样品按照GB/T 9695.19肉的取样方法取上脑、肉眼、西冷、牛柳和S腹肉适量。</w:t>
      </w:r>
    </w:p>
    <w:p w14:paraId="016CEE0A">
      <w:pPr>
        <w:pStyle w:val="108"/>
        <w:spacing w:before="156" w:after="156"/>
        <w:rPr>
          <w:kern w:val="2"/>
          <w:szCs w:val="21"/>
        </w:rPr>
      </w:pPr>
      <w:r>
        <w:rPr>
          <w:rFonts w:hint="eastAsia"/>
        </w:rPr>
        <w:t>检验</w:t>
      </w:r>
    </w:p>
    <w:p w14:paraId="10C3EDF7">
      <w:pPr>
        <w:pStyle w:val="59"/>
        <w:ind w:firstLine="420"/>
      </w:pPr>
      <w:r>
        <w:rPr>
          <w:rFonts w:hint="eastAsia"/>
        </w:rPr>
        <w:t>感官评价：自然条件直接眼观、指压、鼻嗅以及品尝。</w:t>
      </w:r>
    </w:p>
    <w:p w14:paraId="2BDFE25D">
      <w:pPr>
        <w:pStyle w:val="59"/>
        <w:ind w:firstLine="420"/>
      </w:pPr>
      <w:r>
        <w:rPr>
          <w:rFonts w:hint="eastAsia"/>
        </w:rPr>
        <w:t>理化指标测定方：法执行食品安全国家标准食品中挥发性盐基氮GB 5009.228、蛋白质GB 5009.5的测定和规定。</w:t>
      </w:r>
    </w:p>
    <w:p w14:paraId="2184A356">
      <w:pPr>
        <w:pStyle w:val="59"/>
        <w:ind w:firstLine="420"/>
      </w:pPr>
      <w:r>
        <w:rPr>
          <w:rFonts w:hint="eastAsia"/>
        </w:rPr>
        <w:t>卫生指标测定方法：污染物限量按GB 2762中规定的方法执行。农药残留限量按GB 2763中规定的方法执行。兽药残留执行GB/T 20755、GB/T 20756、GB/T 21311、GB/T 21312、GB/T 21316、GB/T 21317、GB/T 21981、GB 31658.22及国家兽医行政管理部门发布的有效检测方法。</w:t>
      </w:r>
    </w:p>
    <w:p w14:paraId="5E92C876">
      <w:pPr>
        <w:pStyle w:val="68"/>
        <w:spacing w:before="156" w:after="156"/>
        <w:rPr>
          <w:rFonts w:hAnsi="Calibri"/>
          <w:kern w:val="2"/>
          <w:sz w:val="20"/>
        </w:rPr>
      </w:pPr>
      <w:r>
        <w:rPr>
          <w:rFonts w:hint="eastAsia"/>
        </w:rPr>
        <w:t>出厂检验</w:t>
      </w:r>
    </w:p>
    <w:p w14:paraId="21516270">
      <w:pPr>
        <w:pStyle w:val="59"/>
        <w:ind w:firstLine="420"/>
      </w:pPr>
      <w:r>
        <w:rPr>
          <w:rFonts w:hint="eastAsia"/>
        </w:rPr>
        <w:t>出厂检验项目为感官指标、水分。</w:t>
      </w:r>
    </w:p>
    <w:p w14:paraId="27CDF2B5">
      <w:pPr>
        <w:pStyle w:val="59"/>
        <w:ind w:firstLine="420"/>
      </w:pPr>
      <w:r>
        <w:rPr>
          <w:rFonts w:hint="eastAsia"/>
        </w:rPr>
        <w:t>每批产品应经出厂检验合格后并附有合格证后方可出厂。</w:t>
      </w:r>
    </w:p>
    <w:p w14:paraId="1501FF28">
      <w:pPr>
        <w:pStyle w:val="68"/>
        <w:spacing w:before="156" w:after="156"/>
        <w:rPr>
          <w:rFonts w:ascii="Calibri" w:hAnsi="Calibri"/>
          <w:sz w:val="20"/>
        </w:rPr>
      </w:pPr>
      <w:r>
        <w:rPr>
          <w:rFonts w:hint="eastAsia"/>
        </w:rPr>
        <w:t>型式检验</w:t>
      </w:r>
    </w:p>
    <w:p w14:paraId="06F9C16F">
      <w:pPr>
        <w:pStyle w:val="59"/>
        <w:ind w:firstLine="420"/>
      </w:pPr>
      <w:r>
        <w:rPr>
          <w:rFonts w:hint="eastAsia"/>
        </w:rPr>
        <w:t>型式检验检测感官指标、理化指标、卫生指标全部项目，一般情况每半年进行一次。有下列情况之一者需进行型式检验；</w:t>
      </w:r>
    </w:p>
    <w:p w14:paraId="53D3A756">
      <w:pPr>
        <w:pStyle w:val="59"/>
        <w:ind w:firstLine="444"/>
      </w:pPr>
      <w:r>
        <w:rPr>
          <w:rFonts w:hint="eastAsia"/>
          <w:spacing w:val="6"/>
        </w:rPr>
        <w:t>a）产品投产时；</w:t>
      </w:r>
    </w:p>
    <w:p w14:paraId="06D8D232">
      <w:pPr>
        <w:pStyle w:val="59"/>
        <w:ind w:firstLine="456"/>
      </w:pPr>
      <w:r>
        <w:rPr>
          <w:rFonts w:hint="eastAsia"/>
          <w:spacing w:val="9"/>
          <w:position w:val="7"/>
        </w:rPr>
        <w:t>b）出厂检验结果与上次型式检验有显著差异时；</w:t>
      </w:r>
    </w:p>
    <w:p w14:paraId="509AF8B2">
      <w:pPr>
        <w:pStyle w:val="59"/>
        <w:ind w:firstLine="420"/>
      </w:pPr>
      <w:r>
        <w:rPr>
          <w:rFonts w:hint="eastAsia"/>
        </w:rPr>
        <w:t>c）国家行政管理及质量部门提出要求时。</w:t>
      </w:r>
    </w:p>
    <w:p w14:paraId="65106FC6">
      <w:pPr>
        <w:pStyle w:val="108"/>
        <w:spacing w:before="156" w:after="156"/>
      </w:pPr>
      <w:r>
        <w:rPr>
          <w:rFonts w:hint="eastAsia"/>
        </w:rPr>
        <w:t>判定规则</w:t>
      </w:r>
    </w:p>
    <w:p w14:paraId="4CB505B1">
      <w:pPr>
        <w:pStyle w:val="59"/>
        <w:ind w:firstLine="420"/>
      </w:pPr>
      <w:r>
        <w:rPr>
          <w:rFonts w:hint="eastAsia"/>
        </w:rPr>
        <w:t>所检项目全部符合文件要求判为合格。</w:t>
      </w:r>
    </w:p>
    <w:p w14:paraId="0EA536D8">
      <w:pPr>
        <w:pStyle w:val="108"/>
        <w:spacing w:before="156" w:after="156"/>
      </w:pPr>
      <w:r>
        <w:rPr>
          <w:rFonts w:hint="eastAsia"/>
        </w:rPr>
        <w:t>复验</w:t>
      </w:r>
    </w:p>
    <w:p w14:paraId="1F14D8BD">
      <w:pPr>
        <w:pStyle w:val="59"/>
        <w:ind w:firstLine="420"/>
      </w:pPr>
      <w:r>
        <w:rPr>
          <w:rFonts w:hint="eastAsia"/>
        </w:rPr>
        <w:t>对检验结果有争议时，应对留存样或在同批产品中加倍取样进行不合格项目的复验，复验结果合格，</w:t>
      </w:r>
      <w:r>
        <w:rPr>
          <w:rFonts w:hint="eastAsia"/>
          <w:spacing w:val="9"/>
        </w:rPr>
        <w:t>则判定该批产品合格，反之则判定该批产品不合格。</w:t>
      </w:r>
    </w:p>
    <w:p w14:paraId="30F7B9D3">
      <w:pPr>
        <w:pStyle w:val="233"/>
      </w:pPr>
      <w:r>
        <w:rPr>
          <w:rFonts w:hint="eastAsia"/>
        </w:rPr>
        <w:t xml:space="preserve"> </w:t>
      </w:r>
    </w:p>
    <w:p w14:paraId="0BCB7BF3">
      <w:pPr>
        <w:pStyle w:val="59"/>
        <w:ind w:firstLine="420"/>
      </w:pPr>
    </w:p>
    <w:p w14:paraId="743A0546">
      <w:pPr>
        <w:pStyle w:val="115"/>
        <w:spacing w:before="156" w:after="156"/>
        <w:sectPr>
          <w:pgSz w:w="11906" w:h="16838"/>
          <w:pgMar w:top="1928" w:right="1134" w:bottom="1134" w:left="1134" w:header="1418" w:footer="1134" w:gutter="284"/>
          <w:pgNumType w:start="1"/>
          <w:cols w:space="425" w:num="1"/>
          <w:formProt w:val="0"/>
          <w:docGrid w:type="lines" w:linePitch="312" w:charSpace="0"/>
        </w:sectPr>
      </w:pPr>
    </w:p>
    <w:bookmarkEnd w:id="24"/>
    <w:p w14:paraId="6FD0C4DA">
      <w:pPr>
        <w:pStyle w:val="201"/>
        <w:rPr>
          <w:vanish w:val="0"/>
        </w:rPr>
      </w:pPr>
      <w:bookmarkStart w:id="53" w:name="BookMark5"/>
    </w:p>
    <w:p w14:paraId="724CED5F">
      <w:pPr>
        <w:pStyle w:val="202"/>
        <w:rPr>
          <w:vanish w:val="0"/>
        </w:rPr>
      </w:pPr>
    </w:p>
    <w:p w14:paraId="265CB210">
      <w:pPr>
        <w:pStyle w:val="79"/>
        <w:spacing w:after="156"/>
      </w:pPr>
      <w:r>
        <w:br w:type="textWrapping"/>
      </w:r>
      <w:bookmarkStart w:id="54" w:name="_Toc185931326"/>
      <w:r>
        <w:rPr>
          <w:rFonts w:hint="eastAsia"/>
        </w:rPr>
        <w:t>（规范性）</w:t>
      </w:r>
      <w:r>
        <w:br w:type="textWrapping"/>
      </w:r>
      <w:r>
        <w:rPr>
          <w:rFonts w:hint="eastAsia"/>
        </w:rPr>
        <w:t>平度牛肉地理标志保护范围图</w:t>
      </w:r>
      <w:bookmarkEnd w:id="54"/>
    </w:p>
    <w:p w14:paraId="13CE4000">
      <w:pPr>
        <w:pStyle w:val="59"/>
        <w:ind w:firstLine="420"/>
      </w:pPr>
      <w:r>
        <w:rPr>
          <w:rFonts w:hint="eastAsia"/>
        </w:rPr>
        <w:t>“平度牛肉”地理标志产品保护范围是山东省平度市云山镇、南村镇（原郭庄镇、南村镇、兰底镇）、蓼兰镇（原蓼兰镇、万家镇）、崔家集镇、明村镇、田庄镇（原田庄镇、张舍镇）、店子镇和李园街道（原门村镇）、同和街道（原白埠镇）、白沙河街道（原麻兰镇、张戈庄镇）等镇街现辖行政区域，位于山东半岛腹地，胶东半岛西缘，东经119°31′30″～120°19′13″、北纬36°28′15″～37°02′46″之间。</w:t>
      </w:r>
    </w:p>
    <w:p w14:paraId="696020C4">
      <w:pPr>
        <w:pStyle w:val="201"/>
        <w:rPr>
          <w:kern w:val="2"/>
          <w:sz w:val="21"/>
        </w:rPr>
      </w:pPr>
      <w:r>
        <w:rPr>
          <w:rFonts w:hint="eastAsia"/>
        </w:rPr>
        <w:t>平度牛肉地理标志保护范围图</w:t>
      </w:r>
    </w:p>
    <w:p w14:paraId="769D6E73">
      <w:pPr>
        <w:pStyle w:val="201"/>
        <w:rPr>
          <w:kern w:val="2"/>
          <w:sz w:val="21"/>
        </w:rPr>
      </w:pPr>
      <w:r>
        <w:rPr>
          <w:rFonts w:hint="eastAsia"/>
        </w:rPr>
        <w:t>平度牛肉地理标志保护范围图</w:t>
      </w:r>
    </w:p>
    <w:p w14:paraId="2FE351A7">
      <w:pPr>
        <w:pStyle w:val="201"/>
        <w:rPr>
          <w:kern w:val="2"/>
          <w:sz w:val="21"/>
        </w:rPr>
      </w:pPr>
      <w:r>
        <w:rPr>
          <w:rFonts w:hint="eastAsia"/>
        </w:rPr>
        <w:t>平度牛肉地理标志保护范围图</w:t>
      </w:r>
    </w:p>
    <w:p w14:paraId="2AC1C75B">
      <w:pPr>
        <w:pStyle w:val="86"/>
        <w:numPr>
          <w:ilvl w:val="0"/>
          <w:numId w:val="0"/>
        </w:numPr>
        <w:spacing w:before="156" w:after="156"/>
        <w:jc w:val="both"/>
      </w:pPr>
      <w:r>
        <w:drawing>
          <wp:anchor distT="0" distB="0" distL="114300" distR="114300" simplePos="0" relativeHeight="251661312" behindDoc="0" locked="0" layoutInCell="1" allowOverlap="1">
            <wp:simplePos x="0" y="0"/>
            <wp:positionH relativeFrom="column">
              <wp:posOffset>0</wp:posOffset>
            </wp:positionH>
            <wp:positionV relativeFrom="paragraph">
              <wp:posOffset>194310</wp:posOffset>
            </wp:positionV>
            <wp:extent cx="4943475" cy="4448175"/>
            <wp:effectExtent l="0" t="0" r="9525" b="9525"/>
            <wp:wrapTopAndBottom/>
            <wp:docPr id="1" name="图片 1" descr="c31150fcc5cfb8c82b2b66e7eccc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31150fcc5cfb8c82b2b66e7eccc230"/>
                    <pic:cNvPicPr>
                      <a:picLocks noChangeAspect="1"/>
                    </pic:cNvPicPr>
                  </pic:nvPicPr>
                  <pic:blipFill>
                    <a:blip r:embed="rId16"/>
                    <a:stretch>
                      <a:fillRect/>
                    </a:stretch>
                  </pic:blipFill>
                  <pic:spPr>
                    <a:xfrm>
                      <a:off x="0" y="0"/>
                      <a:ext cx="4943475" cy="4448175"/>
                    </a:xfrm>
                    <a:prstGeom prst="rect">
                      <a:avLst/>
                    </a:prstGeom>
                  </pic:spPr>
                </pic:pic>
              </a:graphicData>
            </a:graphic>
          </wp:anchor>
        </w:drawing>
      </w:r>
      <w:bookmarkEnd w:id="5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52445">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23EA5">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C3D82">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DB06A">
    <w:pPr>
      <w:pStyle w:val="55"/>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F787A">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6ADDD">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41A38">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F2230D">
    <w:pPr>
      <w:pStyle w:val="64"/>
    </w:pPr>
    <w:r>
      <w:fldChar w:fldCharType="begin"/>
    </w:r>
    <w:r>
      <w:instrText xml:space="preserve"> STYLEREF  标准文件_文件编号  \* MERGEFORMAT </w:instrText>
    </w:r>
    <w:r>
      <w:fldChar w:fldCharType="separate"/>
    </w:r>
    <w:r>
      <w:t>DB 3702/T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C0695">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3702/T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PN6Ih+QPA4eEmouE+R2KaiU94GlrXp3MtltLw9RGQNH1aJ0DDYA9LOxnRMnI+ROp4et419GXycwQw+rzNqPbiA==" w:salt="TNatZzJ5o2ba6Zviimg+Z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jMTdkMmQ5YWQ3YzRmZTExMzRiMTg2Yjg3NzVkMjcifQ=="/>
  </w:docVars>
  <w:rsids>
    <w:rsidRoot w:val="00E47B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82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8ED"/>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1DA6"/>
    <w:rsid w:val="0096381A"/>
    <w:rsid w:val="00965E04"/>
    <w:rsid w:val="009674AD"/>
    <w:rsid w:val="00970CDC"/>
    <w:rsid w:val="00977010"/>
    <w:rsid w:val="00977D02"/>
    <w:rsid w:val="009809BB"/>
    <w:rsid w:val="00980E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7D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B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F51"/>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E34BF7"/>
    <w:rsid w:val="52FB18DA"/>
    <w:rsid w:val="6B515CFC"/>
    <w:rsid w:val="79956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Body Text Indent"/>
    <w:basedOn w:val="1"/>
    <w:link w:val="234"/>
    <w:semiHidden/>
    <w:unhideWhenUsed/>
    <w:qFormat/>
    <w:uiPriority w:val="99"/>
    <w:pPr>
      <w:spacing w:after="120"/>
      <w:ind w:left="420" w:leftChars="20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spacing w:before="100" w:beforeAutospacing="1" w:after="100" w:afterAutospacing="1"/>
      <w:jc w:val="left"/>
    </w:pPr>
    <w:rPr>
      <w:kern w:val="0"/>
      <w:sz w:val="24"/>
      <w:szCs w:val="24"/>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paragraph" w:styleId="28">
    <w:name w:val="Body Text First Indent 2"/>
    <w:basedOn w:val="14"/>
    <w:link w:val="235"/>
    <w:unhideWhenUsed/>
    <w:qFormat/>
    <w:uiPriority w:val="99"/>
    <w:pPr>
      <w:ind w:firstLine="420" w:firstLineChars="200"/>
    </w:p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3"/>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paragraph" w:customStyle="1" w:styleId="233">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character" w:customStyle="1" w:styleId="234">
    <w:name w:val="正文文本缩进 字符"/>
    <w:basedOn w:val="31"/>
    <w:link w:val="14"/>
    <w:semiHidden/>
    <w:qFormat/>
    <w:uiPriority w:val="99"/>
    <w:rPr>
      <w:kern w:val="2"/>
      <w:sz w:val="21"/>
      <w:szCs w:val="21"/>
    </w:rPr>
  </w:style>
  <w:style w:type="character" w:customStyle="1" w:styleId="235">
    <w:name w:val="正文首行缩进 2 字符"/>
    <w:basedOn w:val="234"/>
    <w:link w:val="28"/>
    <w:qFormat/>
    <w:uiPriority w:val="99"/>
    <w:rPr>
      <w:kern w:val="2"/>
      <w:sz w:val="21"/>
      <w:szCs w:val="21"/>
    </w:rPr>
  </w:style>
  <w:style w:type="paragraph" w:customStyle="1" w:styleId="236">
    <w:name w:val="Table Text"/>
    <w:basedOn w:val="1"/>
    <w:semiHidden/>
    <w:qFormat/>
    <w:uiPriority w:val="0"/>
    <w:rPr>
      <w:rFonts w:ascii="宋体" w:hAnsi="宋体" w:cs="宋体"/>
      <w:sz w:val="32"/>
      <w:szCs w:val="32"/>
    </w:rPr>
  </w:style>
  <w:style w:type="paragraph" w:customStyle="1" w:styleId="237">
    <w:name w:val="章标题"/>
    <w:basedOn w:val="1"/>
    <w:next w:val="233"/>
    <w:qFormat/>
    <w:uiPriority w:val="0"/>
    <w:pPr>
      <w:widowControl/>
      <w:adjustRightInd/>
      <w:spacing w:beforeLines="100" w:afterLines="100" w:line="240" w:lineRule="auto"/>
      <w:outlineLvl w:val="1"/>
    </w:pPr>
    <w:rPr>
      <w:rFonts w:ascii="黑体" w:hAnsi="黑体" w:eastAsia="黑体" w:cs="宋体"/>
      <w:kern w:val="0"/>
    </w:rPr>
  </w:style>
  <w:style w:type="paragraph" w:customStyle="1" w:styleId="238">
    <w:name w:val="一级条标题"/>
    <w:basedOn w:val="1"/>
    <w:next w:val="1"/>
    <w:qFormat/>
    <w:uiPriority w:val="0"/>
    <w:pPr>
      <w:widowControl/>
      <w:adjustRightInd/>
      <w:spacing w:beforeLines="50" w:afterLines="50" w:line="240" w:lineRule="auto"/>
      <w:jc w:val="left"/>
      <w:outlineLvl w:val="2"/>
    </w:pPr>
    <w:rPr>
      <w:rFonts w:ascii="黑体" w:hAnsi="黑体" w:eastAsia="黑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661DC3E8E64CC195DCCC076DED1991"/>
        <w:style w:val=""/>
        <w:category>
          <w:name w:val="常规"/>
          <w:gallery w:val="placeholder"/>
        </w:category>
        <w:types>
          <w:type w:val="bbPlcHdr"/>
        </w:types>
        <w:behaviors>
          <w:behavior w:val="content"/>
        </w:behaviors>
        <w:description w:val=""/>
        <w:guid w:val="{1E679659-73B5-4EE2-929D-8EAC6ADE5E2A}"/>
      </w:docPartPr>
      <w:docPartBody>
        <w:p w14:paraId="4A9DBA93">
          <w:pPr>
            <w:pStyle w:val="5"/>
          </w:pPr>
          <w:r>
            <w:rPr>
              <w:rStyle w:val="4"/>
              <w:rFonts w:hint="eastAsia"/>
            </w:rPr>
            <w:t>单击或点击此处输入文字。</w:t>
          </w:r>
        </w:p>
      </w:docPartBody>
    </w:docPart>
    <w:docPart>
      <w:docPartPr>
        <w:name w:val="BB0ECA9CC39A4CECB9E5EFD25B4AD135"/>
        <w:style w:val=""/>
        <w:category>
          <w:name w:val="常规"/>
          <w:gallery w:val="placeholder"/>
        </w:category>
        <w:types>
          <w:type w:val="bbPlcHdr"/>
        </w:types>
        <w:behaviors>
          <w:behavior w:val="content"/>
        </w:behaviors>
        <w:description w:val=""/>
        <w:guid w:val="{EC770BC1-FA07-4AF6-931A-318E44C4CDD8}"/>
      </w:docPartPr>
      <w:docPartBody>
        <w:p w14:paraId="6AEDC9CD">
          <w:pPr>
            <w:pStyle w:val="6"/>
          </w:pPr>
          <w:r>
            <w:rPr>
              <w:rStyle w:val="4"/>
              <w:rFonts w:hint="eastAsia"/>
            </w:rPr>
            <w:t>选择一项。</w:t>
          </w:r>
        </w:p>
      </w:docPartBody>
    </w:docPart>
    <w:docPart>
      <w:docPartPr>
        <w:name w:val="A1B491CB0B3E4AFAB389269BF24F0F82"/>
        <w:style w:val=""/>
        <w:category>
          <w:name w:val="常规"/>
          <w:gallery w:val="placeholder"/>
        </w:category>
        <w:types>
          <w:type w:val="bbPlcHdr"/>
        </w:types>
        <w:behaviors>
          <w:behavior w:val="content"/>
        </w:behaviors>
        <w:description w:val=""/>
        <w:guid w:val="{6BD31309-9984-41D9-9B6B-2645B5FBE099}"/>
      </w:docPartPr>
      <w:docPartBody>
        <w:p w14:paraId="30150F5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AF"/>
    <w:rsid w:val="0058420F"/>
    <w:rsid w:val="008235ED"/>
    <w:rsid w:val="009510AF"/>
    <w:rsid w:val="00A23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661DC3E8E64CC195DCCC076DED19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B0ECA9CC39A4CECB9E5EFD25B4AD1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1B491CB0B3E4AFAB389269BF24F0F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2783</Words>
  <Characters>3344</Characters>
  <Lines>32</Lines>
  <Paragraphs>9</Paragraphs>
  <TotalTime>2</TotalTime>
  <ScaleCrop>false</ScaleCrop>
  <LinksUpToDate>false</LinksUpToDate>
  <CharactersWithSpaces>3552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2024-12-24T02:48:00Z</dcterms:created>
  <dc:creator>微软用户</dc:creator>
  <dc:description>&lt;config cover="true" show_menu="true" version="1.0.0" doctype="SDKXY"&gt;_x000d_
&lt;/config&gt;</dc:description>
  <cp:lastModifiedBy>selweaker.</cp:lastModifiedBy>
  <cp:lastPrinted>2020-08-30T10:00:00Z</cp:lastPrinted>
  <dcterms:modified xsi:type="dcterms:W3CDTF">2024-12-24T07:27:32Z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15D354BEBC4E499B9C9754B64C9C82B5_13</vt:lpwstr>
  </property>
</Properties>
</file>