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AD4A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2746047">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1638C73">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65.020.20 </w:t>
            </w:r>
            <w:r>
              <w:rPr>
                <w:rFonts w:ascii="黑体" w:hAnsi="黑体" w:eastAsia="黑体"/>
                <w:sz w:val="21"/>
                <w:szCs w:val="21"/>
              </w:rPr>
              <w:fldChar w:fldCharType="end"/>
            </w:r>
            <w:bookmarkEnd w:id="0"/>
          </w:p>
        </w:tc>
      </w:tr>
      <w:tr w14:paraId="56B92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6943CAB">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43BB8E93">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31 </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D7ADC9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B6435D3">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3702</w:t>
            </w:r>
            <w:r>
              <w:fldChar w:fldCharType="end"/>
            </w:r>
            <w:bookmarkEnd w:id="3"/>
          </w:p>
        </w:tc>
      </w:tr>
    </w:tbl>
    <w:p w14:paraId="57BA8C55">
      <w:pPr>
        <w:pStyle w:val="52"/>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青岛市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8AB5FD2">
      <w:pPr>
        <w:pStyle w:val="197"/>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3702/T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14:paraId="278E69D2">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9FB25FA">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6EA9989">
      <w:pPr>
        <w:pStyle w:val="52"/>
        <w:framePr w:w="9639" w:h="6976" w:hRule="exact" w:hSpace="0" w:vSpace="0" w:wrap="around" w:hAnchor="page" w:y="6408"/>
        <w:jc w:val="center"/>
        <w:rPr>
          <w:rFonts w:ascii="黑体" w:hAnsi="黑体" w:eastAsia="黑体"/>
          <w:b w:val="0"/>
          <w:bCs w:val="0"/>
          <w:w w:val="100"/>
        </w:rPr>
      </w:pPr>
    </w:p>
    <w:p w14:paraId="09A5D4FF">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地理标志产品</w:t>
      </w:r>
      <w:r>
        <w:t xml:space="preserve">  平度牛肉  </w:t>
      </w:r>
    </w:p>
    <w:p w14:paraId="034C2FD4">
      <w:pPr>
        <w:pStyle w:val="199"/>
        <w:framePr w:h="6974" w:hRule="exact" w:wrap="around" w:x="1419" w:anchorLock="1"/>
      </w:pPr>
      <w:r>
        <w:t xml:space="preserve">  第1部分：生产技术规程</w:t>
      </w:r>
      <w:r>
        <w:fldChar w:fldCharType="end"/>
      </w:r>
      <w:bookmarkEnd w:id="9"/>
    </w:p>
    <w:p w14:paraId="467DC183">
      <w:pPr>
        <w:framePr w:w="9639" w:h="6974" w:hRule="exact" w:wrap="around" w:vAnchor="page" w:hAnchor="page" w:x="1419" w:y="6408" w:anchorLock="1"/>
        <w:ind w:left="-1418"/>
      </w:pPr>
    </w:p>
    <w:p w14:paraId="39198AC0">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  Geographical Indication ProductPingdu Beef  </w:t>
      </w:r>
    </w:p>
    <w:p w14:paraId="5894C7E2">
      <w:pPr>
        <w:pStyle w:val="127"/>
        <w:framePr w:w="9639" w:h="6974" w:hRule="exact" w:wrap="around" w:vAnchor="page" w:hAnchor="page" w:x="1419" w:y="6408" w:anchorLock="1"/>
        <w:textAlignment w:val="bottom"/>
        <w:rPr>
          <w:rFonts w:eastAsia="黑体"/>
          <w:szCs w:val="28"/>
        </w:rPr>
      </w:pPr>
      <w:r>
        <w:rPr>
          <w:rFonts w:eastAsia="黑体"/>
          <w:szCs w:val="28"/>
        </w:rPr>
        <w:t>Part 1 Ttechnical regulations for production  </w:t>
      </w:r>
    </w:p>
    <w:p w14:paraId="7A54FF78">
      <w:pPr>
        <w:pStyle w:val="127"/>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14:paraId="4137D204">
      <w:pPr>
        <w:framePr w:w="9639" w:h="6974" w:hRule="exact" w:wrap="around" w:vAnchor="page" w:hAnchor="page" w:x="1419" w:y="6408" w:anchorLock="1"/>
        <w:spacing w:line="760" w:lineRule="exact"/>
        <w:ind w:left="-1418"/>
      </w:pPr>
    </w:p>
    <w:p w14:paraId="03C269D0">
      <w:pPr>
        <w:pStyle w:val="127"/>
        <w:framePr w:w="9639" w:h="6974" w:hRule="exact" w:wrap="around" w:vAnchor="page" w:hAnchor="page" w:x="1419" w:y="6408" w:anchorLock="1"/>
        <w:textAlignment w:val="bottom"/>
        <w:rPr>
          <w:rFonts w:eastAsia="黑体"/>
          <w:szCs w:val="28"/>
        </w:rPr>
      </w:pPr>
    </w:p>
    <w:p w14:paraId="050C24D5">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212CCAB">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46F4F79">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EC53466">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16FED08">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F202FB4">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14:paraId="159A838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75F439F">
      <w:pPr>
        <w:pStyle w:val="93"/>
        <w:spacing w:after="468"/>
        <w:rPr>
          <w:rFonts w:hint="eastAsia"/>
        </w:rPr>
      </w:pPr>
      <w:bookmarkStart w:id="21" w:name="BookMark1"/>
      <w:bookmarkStart w:id="22" w:name="_Toc185931247"/>
      <w:r>
        <w:rPr>
          <w:rFonts w:hint="eastAsia"/>
          <w:spacing w:val="320"/>
        </w:rPr>
        <w:t>目</w:t>
      </w:r>
      <w:r>
        <w:rPr>
          <w:rFonts w:hint="eastAsia"/>
        </w:rPr>
        <w:t>次</w:t>
      </w:r>
    </w:p>
    <w:p w14:paraId="27A8817D">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"_Toc185931273" </w:instrText>
      </w:r>
      <w:r>
        <w:fldChar w:fldCharType="separate"/>
      </w:r>
      <w:r>
        <w:rPr>
          <w:rStyle w:val="34"/>
        </w:rPr>
        <w:t>前言</w:t>
      </w:r>
      <w:r>
        <w:tab/>
      </w:r>
      <w:r>
        <w:fldChar w:fldCharType="begin"/>
      </w:r>
      <w:r>
        <w:instrText xml:space="preserve"> PAGEREF _Toc185931273 \h </w:instrText>
      </w:r>
      <w:r>
        <w:fldChar w:fldCharType="separate"/>
      </w:r>
      <w:r>
        <w:t>II</w:t>
      </w:r>
      <w:r>
        <w:fldChar w:fldCharType="end"/>
      </w:r>
      <w:r>
        <w:fldChar w:fldCharType="end"/>
      </w:r>
    </w:p>
    <w:p w14:paraId="28141615">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"_Toc185931274" </w:instrText>
      </w:r>
      <w:r>
        <w:fldChar w:fldCharType="separate"/>
      </w:r>
      <w:r>
        <w:rPr>
          <w:rStyle w:val="34"/>
        </w:rPr>
        <w:t>1  范围</w:t>
      </w:r>
      <w:r>
        <w:tab/>
      </w:r>
      <w:r>
        <w:fldChar w:fldCharType="begin"/>
      </w:r>
      <w:r>
        <w:instrText xml:space="preserve"> PAGEREF _Toc185931274 \h </w:instrText>
      </w:r>
      <w:r>
        <w:fldChar w:fldCharType="separate"/>
      </w:r>
      <w:r>
        <w:t>1</w:t>
      </w:r>
      <w:r>
        <w:fldChar w:fldCharType="end"/>
      </w:r>
      <w:r>
        <w:fldChar w:fldCharType="end"/>
      </w:r>
    </w:p>
    <w:p w14:paraId="6D276F76">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"_Toc185931275" </w:instrText>
      </w:r>
      <w:r>
        <w:fldChar w:fldCharType="separate"/>
      </w:r>
      <w:r>
        <w:rPr>
          <w:rStyle w:val="34"/>
        </w:rPr>
        <w:t>2  规范性引用文件</w:t>
      </w:r>
      <w:r>
        <w:tab/>
      </w:r>
      <w:r>
        <w:fldChar w:fldCharType="begin"/>
      </w:r>
      <w:r>
        <w:instrText xml:space="preserve"> PAGEREF _Toc185931275 \h </w:instrText>
      </w:r>
      <w:r>
        <w:fldChar w:fldCharType="separate"/>
      </w:r>
      <w:r>
        <w:t>1</w:t>
      </w:r>
      <w:r>
        <w:fldChar w:fldCharType="end"/>
      </w:r>
      <w:r>
        <w:fldChar w:fldCharType="end"/>
      </w:r>
    </w:p>
    <w:p w14:paraId="5DA81A71">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"_Toc185931276" </w:instrText>
      </w:r>
      <w:r>
        <w:fldChar w:fldCharType="separate"/>
      </w:r>
      <w:r>
        <w:rPr>
          <w:rStyle w:val="34"/>
        </w:rPr>
        <w:t>3  术语和定义</w:t>
      </w:r>
      <w:r>
        <w:tab/>
      </w:r>
      <w:r>
        <w:fldChar w:fldCharType="begin"/>
      </w:r>
      <w:r>
        <w:instrText xml:space="preserve"> PAGEREF _Toc185931276 \h </w:instrText>
      </w:r>
      <w:r>
        <w:fldChar w:fldCharType="separate"/>
      </w:r>
      <w:r>
        <w:t>1</w:t>
      </w:r>
      <w:r>
        <w:fldChar w:fldCharType="end"/>
      </w:r>
      <w:r>
        <w:fldChar w:fldCharType="end"/>
      </w:r>
    </w:p>
    <w:p w14:paraId="2F0B7D59">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"_Toc185931277" </w:instrText>
      </w:r>
      <w:r>
        <w:fldChar w:fldCharType="separate"/>
      </w:r>
      <w:r>
        <w:rPr>
          <w:rStyle w:val="34"/>
          <w:rFonts w:hAnsi="Calibri"/>
        </w:rPr>
        <w:t xml:space="preserve">4 </w:t>
      </w:r>
      <w:r>
        <w:rPr>
          <w:rStyle w:val="34"/>
        </w:rPr>
        <w:t xml:space="preserve"> 保护范围</w:t>
      </w:r>
      <w:r>
        <w:tab/>
      </w:r>
      <w:r>
        <w:fldChar w:fldCharType="begin"/>
      </w:r>
      <w:r>
        <w:instrText xml:space="preserve"> PAGEREF _Toc185931277 \h </w:instrText>
      </w:r>
      <w:r>
        <w:fldChar w:fldCharType="separate"/>
      </w:r>
      <w:r>
        <w:t>2</w:t>
      </w:r>
      <w:r>
        <w:fldChar w:fldCharType="end"/>
      </w:r>
      <w:r>
        <w:fldChar w:fldCharType="end"/>
      </w:r>
    </w:p>
    <w:p w14:paraId="007FD058">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"_Toc185931278" </w:instrText>
      </w:r>
      <w:r>
        <w:fldChar w:fldCharType="separate"/>
      </w:r>
      <w:r>
        <w:rPr>
          <w:rStyle w:val="34"/>
        </w:rPr>
        <w:t>5  生产要求</w:t>
      </w:r>
      <w:r>
        <w:tab/>
      </w:r>
      <w:r>
        <w:fldChar w:fldCharType="begin"/>
      </w:r>
      <w:r>
        <w:instrText xml:space="preserve"> PAGEREF _Toc185931278 \h </w:instrText>
      </w:r>
      <w:r>
        <w:fldChar w:fldCharType="separate"/>
      </w:r>
      <w:r>
        <w:t>2</w:t>
      </w:r>
      <w:r>
        <w:fldChar w:fldCharType="end"/>
      </w:r>
      <w:r>
        <w:fldChar w:fldCharType="end"/>
      </w:r>
    </w:p>
    <w:p w14:paraId="3BE69589">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"_Toc185931279" </w:instrText>
      </w:r>
      <w:r>
        <w:fldChar w:fldCharType="separate"/>
      </w:r>
      <w:r>
        <w:rPr>
          <w:rStyle w:val="34"/>
        </w:rPr>
        <w:t>6  屠宰加工</w:t>
      </w:r>
      <w:r>
        <w:tab/>
      </w:r>
      <w:r>
        <w:fldChar w:fldCharType="begin"/>
      </w:r>
      <w:r>
        <w:instrText xml:space="preserve"> PAGEREF _Toc185931279 \h </w:instrText>
      </w:r>
      <w:r>
        <w:fldChar w:fldCharType="separate"/>
      </w:r>
      <w:r>
        <w:t>3</w:t>
      </w:r>
      <w:r>
        <w:fldChar w:fldCharType="end"/>
      </w:r>
      <w:r>
        <w:fldChar w:fldCharType="end"/>
      </w:r>
    </w:p>
    <w:p w14:paraId="1577B0B3">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"_Toc185931280" </w:instrText>
      </w:r>
      <w:r>
        <w:fldChar w:fldCharType="separate"/>
      </w:r>
      <w:r>
        <w:rPr>
          <w:rStyle w:val="34"/>
        </w:rPr>
        <w:t>7  产品分级</w:t>
      </w:r>
      <w:r>
        <w:tab/>
      </w:r>
      <w:r>
        <w:fldChar w:fldCharType="begin"/>
      </w:r>
      <w:r>
        <w:instrText xml:space="preserve"> PAGEREF _Toc185931280 \h </w:instrText>
      </w:r>
      <w:r>
        <w:fldChar w:fldCharType="separate"/>
      </w:r>
      <w:r>
        <w:t>4</w:t>
      </w:r>
      <w:r>
        <w:fldChar w:fldCharType="end"/>
      </w:r>
      <w:r>
        <w:fldChar w:fldCharType="end"/>
      </w:r>
    </w:p>
    <w:p w14:paraId="01667985">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"_Toc185931281" </w:instrText>
      </w:r>
      <w:r>
        <w:fldChar w:fldCharType="separate"/>
      </w:r>
      <w:r>
        <w:rPr>
          <w:rStyle w:val="34"/>
        </w:rPr>
        <w:t>8  标签、包装、运输、贮存</w:t>
      </w:r>
      <w:r>
        <w:tab/>
      </w:r>
      <w:r>
        <w:fldChar w:fldCharType="begin"/>
      </w:r>
      <w:r>
        <w:instrText xml:space="preserve"> PAGEREF _Toc185931281 \h </w:instrText>
      </w:r>
      <w:r>
        <w:fldChar w:fldCharType="separate"/>
      </w:r>
      <w:r>
        <w:t>4</w:t>
      </w:r>
      <w:r>
        <w:fldChar w:fldCharType="end"/>
      </w:r>
      <w:r>
        <w:fldChar w:fldCharType="end"/>
      </w:r>
    </w:p>
    <w:p w14:paraId="779F4218">
      <w:pPr>
        <w:pStyle w:val="20"/>
        <w:tabs>
          <w:tab w:val="right" w:leader="dot" w:pos="9344"/>
        </w:tabs>
        <w:rPr>
          <w:rFonts w:asciiTheme="minorHAnsi" w:hAnsiTheme="minorHAnsi" w:eastAsiaTheme="minorEastAsia" w:cstheme="minorBidi"/>
          <w:szCs w:val="22"/>
        </w:rPr>
      </w:pPr>
      <w:r>
        <w:fldChar w:fldCharType="begin"/>
      </w:r>
      <w:r>
        <w:instrText xml:space="preserve"> HYPERLINK \l "_Toc185931282" </w:instrText>
      </w:r>
      <w:r>
        <w:fldChar w:fldCharType="separate"/>
      </w:r>
      <w:r>
        <w:rPr>
          <w:rStyle w:val="34"/>
        </w:rPr>
        <w:t>附录A（规范性）  平度牛肉地理标志保护范围图</w:t>
      </w:r>
      <w:r>
        <w:tab/>
      </w:r>
      <w:r>
        <w:fldChar w:fldCharType="begin"/>
      </w:r>
      <w:r>
        <w:instrText xml:space="preserve"> PAGEREF _Toc185931282 \h </w:instrText>
      </w:r>
      <w:r>
        <w:fldChar w:fldCharType="separate"/>
      </w:r>
      <w:r>
        <w:t>5</w:t>
      </w:r>
      <w:r>
        <w:fldChar w:fldCharType="end"/>
      </w:r>
      <w:r>
        <w:fldChar w:fldCharType="end"/>
      </w:r>
    </w:p>
    <w:p w14:paraId="4A9AF059">
      <w:pPr>
        <w:pStyle w:val="93"/>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531C3C64">
      <w:pPr>
        <w:pStyle w:val="91"/>
        <w:spacing w:before="900" w:after="468"/>
      </w:pPr>
      <w:bookmarkStart w:id="23" w:name="_Toc185931273"/>
      <w:bookmarkStart w:id="24" w:name="BookMark2"/>
      <w:r>
        <w:rPr>
          <w:spacing w:val="320"/>
        </w:rPr>
        <w:t>前</w:t>
      </w:r>
      <w:r>
        <w:t>言</w:t>
      </w:r>
      <w:bookmarkEnd w:id="22"/>
      <w:bookmarkEnd w:id="23"/>
    </w:p>
    <w:p w14:paraId="1BD96351">
      <w:pPr>
        <w:pStyle w:val="58"/>
        <w:ind w:firstLine="420"/>
      </w:pPr>
      <w:r>
        <w:rPr>
          <w:rFonts w:hint="eastAsia"/>
        </w:rPr>
        <w:t>本文件按照GB/T 1.1—2020《标准化工作导则  第1部分：标准化文件的结构和起草规则》的规定起草。</w:t>
      </w:r>
    </w:p>
    <w:p w14:paraId="6952BD03">
      <w:pPr>
        <w:pStyle w:val="58"/>
        <w:ind w:firstLine="420"/>
        <w:rPr>
          <w:szCs w:val="21"/>
        </w:rPr>
      </w:pPr>
      <w:r>
        <w:rPr>
          <w:rFonts w:hint="eastAsia" w:hAnsi="宋体"/>
        </w:rPr>
        <w:t>本文件DB 3702/T  --</w:t>
      </w:r>
      <w:r>
        <w:rPr>
          <w:rFonts w:hint="eastAsia"/>
        </w:rPr>
        <w:t xml:space="preserve"> </w:t>
      </w:r>
      <w:r>
        <w:rPr>
          <w:rFonts w:hint="eastAsia" w:hAnsi="宋体"/>
        </w:rPr>
        <w:t>《地理标志产品平度牛肉》有以下两个部分组成：</w:t>
      </w:r>
    </w:p>
    <w:p w14:paraId="453BF341">
      <w:pPr>
        <w:pStyle w:val="58"/>
        <w:ind w:firstLine="420"/>
      </w:pPr>
      <w:r>
        <w:rPr>
          <w:rFonts w:hint="eastAsia" w:hAnsi="宋体"/>
        </w:rPr>
        <w:t>——DB 3702/T .1--</w:t>
      </w:r>
      <w:r>
        <w:rPr>
          <w:rFonts w:hint="eastAsia"/>
        </w:rPr>
        <w:t xml:space="preserve">   </w:t>
      </w:r>
      <w:r>
        <w:rPr>
          <w:rFonts w:hint="eastAsia" w:hAnsi="宋体"/>
        </w:rPr>
        <w:t>地理标志产品平度牛肉</w:t>
      </w:r>
      <w:r>
        <w:rPr>
          <w:rFonts w:hint="eastAsia"/>
        </w:rPr>
        <w:t xml:space="preserve">  </w:t>
      </w:r>
      <w:r>
        <w:rPr>
          <w:rFonts w:hint="eastAsia" w:hAnsi="宋体"/>
        </w:rPr>
        <w:t>第1部分：生产技术规程；</w:t>
      </w:r>
    </w:p>
    <w:p w14:paraId="5F547F14">
      <w:pPr>
        <w:pStyle w:val="58"/>
        <w:ind w:firstLine="420"/>
      </w:pPr>
      <w:r>
        <w:rPr>
          <w:rFonts w:hint="eastAsia" w:hAnsi="宋体"/>
        </w:rPr>
        <w:t>——DB 3702/T .2--</w:t>
      </w:r>
      <w:r>
        <w:rPr>
          <w:rFonts w:hint="eastAsia"/>
        </w:rPr>
        <w:t xml:space="preserve">   </w:t>
      </w:r>
      <w:r>
        <w:rPr>
          <w:rFonts w:hint="eastAsia" w:hAnsi="宋体"/>
        </w:rPr>
        <w:t>地理标志产品平度牛肉</w:t>
      </w:r>
      <w:r>
        <w:rPr>
          <w:rFonts w:hint="eastAsia"/>
        </w:rPr>
        <w:t xml:space="preserve">  </w:t>
      </w:r>
      <w:r>
        <w:rPr>
          <w:rFonts w:hint="eastAsia" w:hAnsi="宋体"/>
        </w:rPr>
        <w:t>第2部分：质量标准。</w:t>
      </w:r>
    </w:p>
    <w:p w14:paraId="04053F31">
      <w:pPr>
        <w:pStyle w:val="58"/>
        <w:ind w:firstLine="420"/>
      </w:pPr>
      <w:r>
        <w:rPr>
          <w:rFonts w:hint="eastAsia" w:hAnsi="宋体"/>
        </w:rPr>
        <w:t>本文件为——DB 3702/T --的第1部分。</w:t>
      </w:r>
    </w:p>
    <w:p w14:paraId="5D1822BB">
      <w:pPr>
        <w:pStyle w:val="58"/>
        <w:ind w:firstLine="420"/>
      </w:pPr>
      <w:r>
        <w:rPr>
          <w:rFonts w:hint="eastAsia" w:hAnsi="宋体"/>
        </w:rPr>
        <w:t>本文件由青岛市农业农村局提出并组织实施。</w:t>
      </w:r>
    </w:p>
    <w:p w14:paraId="0192CEA8">
      <w:pPr>
        <w:pStyle w:val="58"/>
        <w:ind w:firstLine="420"/>
      </w:pPr>
      <w:r>
        <w:rPr>
          <w:rFonts w:hint="eastAsia" w:hAnsi="宋体"/>
        </w:rPr>
        <w:t>本文件由青岛市农业农村标准化技术委员会归口</w:t>
      </w:r>
      <w:r>
        <w:rPr>
          <w:rFonts w:hint="eastAsia" w:hAnsi="宋体"/>
          <w:lang w:val="en-US" w:eastAsia="zh-CN"/>
        </w:rPr>
        <w:t>解释</w:t>
      </w:r>
      <w:r>
        <w:rPr>
          <w:rFonts w:hint="eastAsia" w:hAnsi="宋体"/>
        </w:rPr>
        <w:t>。</w:t>
      </w:r>
    </w:p>
    <w:p w14:paraId="4CC808A8">
      <w:pPr>
        <w:pStyle w:val="58"/>
        <w:ind w:firstLine="420"/>
      </w:pPr>
      <w:r>
        <w:rPr>
          <w:rFonts w:hint="eastAsia" w:hAnsi="宋体"/>
        </w:rPr>
        <w:t>本文件起草单位：平度市农业农村局、平度市检验检测中心、黄岛区农业农村局、平度市田庄镇人民政府、青岛琴鑫肉牛养殖加工有限公司。</w:t>
      </w:r>
    </w:p>
    <w:p w14:paraId="1E9CC1B2">
      <w:pPr>
        <w:pStyle w:val="58"/>
        <w:ind w:firstLine="420"/>
      </w:pPr>
      <w:r>
        <w:rPr>
          <w:rFonts w:hint="eastAsia" w:hAnsi="宋体"/>
        </w:rPr>
        <w:t>本文件主要起草人：车淑芬</w:t>
      </w:r>
      <w:r>
        <w:rPr>
          <w:rFonts w:hAnsi="宋体"/>
        </w:rPr>
        <w:t>、吕宁、</w:t>
      </w:r>
      <w:r>
        <w:rPr>
          <w:rFonts w:hint="eastAsia" w:hAnsi="宋体"/>
        </w:rPr>
        <w:t>高丽萍、庄桂玉、</w:t>
      </w:r>
      <w:r>
        <w:rPr>
          <w:rFonts w:hAnsi="宋体"/>
        </w:rPr>
        <w:t>马俊俊、</w:t>
      </w:r>
      <w:r>
        <w:rPr>
          <w:rFonts w:hint="eastAsia" w:hAnsi="宋体"/>
        </w:rPr>
        <w:t>郭法光、曲忠峰、张江波、鞠鹏飞、刘晓明、张颜春、王卫、王奕懿、赵维一、贾泉。</w:t>
      </w:r>
    </w:p>
    <w:p w14:paraId="55126AAF">
      <w:pPr>
        <w:pStyle w:val="58"/>
        <w:ind w:firstLine="420"/>
      </w:pPr>
      <w:r>
        <w:rPr>
          <w:rFonts w:hint="eastAsia" w:hAnsi="宋体"/>
        </w:rPr>
        <w:t>本文件首次发布于2024年</w:t>
      </w:r>
      <w:r>
        <w:rPr>
          <w:rFonts w:hint="eastAsia"/>
        </w:rPr>
        <w:t xml:space="preserve">  </w:t>
      </w:r>
      <w:r>
        <w:rPr>
          <w:rFonts w:hint="eastAsia" w:hAnsi="宋体"/>
        </w:rPr>
        <w:t>月</w:t>
      </w:r>
      <w:r>
        <w:rPr>
          <w:rFonts w:hint="eastAsia"/>
        </w:rPr>
        <w:t xml:space="preserve">  </w:t>
      </w:r>
      <w:r>
        <w:rPr>
          <w:rFonts w:hint="eastAsia" w:hAnsi="宋体"/>
        </w:rPr>
        <w:t>日。</w:t>
      </w:r>
    </w:p>
    <w:p w14:paraId="1F2847C6">
      <w:pPr>
        <w:pStyle w:val="58"/>
        <w:ind w:firstLine="420"/>
      </w:pPr>
    </w:p>
    <w:p w14:paraId="222701E8">
      <w:pPr>
        <w:pStyle w:val="58"/>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14:paraId="0DE867AA">
      <w:pPr>
        <w:spacing w:line="20" w:lineRule="exact"/>
        <w:jc w:val="center"/>
        <w:rPr>
          <w:rFonts w:ascii="黑体" w:hAnsi="黑体" w:eastAsia="黑体"/>
          <w:sz w:val="32"/>
          <w:szCs w:val="32"/>
        </w:rPr>
      </w:pPr>
      <w:bookmarkStart w:id="25" w:name="BookMark4"/>
    </w:p>
    <w:p w14:paraId="7A362B26">
      <w:pPr>
        <w:spacing w:line="20" w:lineRule="exact"/>
        <w:jc w:val="center"/>
        <w:rPr>
          <w:rFonts w:ascii="黑体" w:hAnsi="黑体" w:eastAsia="黑体"/>
          <w:sz w:val="32"/>
          <w:szCs w:val="32"/>
        </w:rPr>
      </w:pPr>
    </w:p>
    <w:sdt>
      <w:sdtPr>
        <w:tag w:val="NEW_STAND_NAME"/>
        <w:id w:val="595910757"/>
        <w:lock w:val="sdtLocked"/>
        <w:placeholder>
          <w:docPart w:val="ED661DC3E8E64CC195DCCC076DED1991"/>
        </w:placeholder>
      </w:sdtPr>
      <w:sdtContent>
        <w:p w14:paraId="7CA8446A">
          <w:pPr>
            <w:pStyle w:val="179"/>
            <w:spacing w:before="312" w:beforeLines="100" w:after="3" w:afterLines="1"/>
          </w:pPr>
          <w:bookmarkStart w:id="26" w:name="NEW_STAND_NAME"/>
          <w:r>
            <w:rPr>
              <w:rFonts w:hint="eastAsia"/>
            </w:rPr>
            <w:t>地理标志产品</w:t>
          </w:r>
          <w:r>
            <w:t xml:space="preserve">  平度牛肉  </w:t>
          </w:r>
        </w:p>
        <w:p w14:paraId="74C35EFA">
          <w:pPr>
            <w:pStyle w:val="179"/>
            <w:spacing w:before="3" w:beforeLines="1" w:after="680"/>
          </w:pPr>
          <w:r>
            <w:t xml:space="preserve">  第1部分：生产技术规程</w:t>
          </w:r>
        </w:p>
      </w:sdtContent>
    </w:sdt>
    <w:bookmarkEnd w:id="26"/>
    <w:p w14:paraId="7ABD29D2">
      <w:pPr>
        <w:pStyle w:val="106"/>
        <w:spacing w:before="312" w:after="312"/>
      </w:pPr>
      <w:bookmarkStart w:id="27" w:name="_Toc17233333"/>
      <w:bookmarkStart w:id="28" w:name="_Toc26648465"/>
      <w:bookmarkStart w:id="29" w:name="_Toc26718930"/>
      <w:bookmarkStart w:id="30" w:name="_Toc17233325"/>
      <w:bookmarkStart w:id="31" w:name="_Toc24884211"/>
      <w:bookmarkStart w:id="32" w:name="_Toc26986771"/>
      <w:bookmarkStart w:id="33" w:name="_Toc26986530"/>
      <w:bookmarkStart w:id="34" w:name="_Toc24884218"/>
      <w:bookmarkStart w:id="35" w:name="_Toc185931274"/>
      <w:bookmarkStart w:id="36" w:name="_Toc185931248"/>
      <w:bookmarkStart w:id="37" w:name="_Toc97191423"/>
      <w:r>
        <w:rPr>
          <w:rFonts w:hint="eastAsia"/>
        </w:rPr>
        <w:t>范围</w:t>
      </w:r>
      <w:bookmarkEnd w:id="27"/>
      <w:bookmarkEnd w:id="28"/>
      <w:bookmarkEnd w:id="29"/>
      <w:bookmarkEnd w:id="30"/>
      <w:bookmarkEnd w:id="31"/>
      <w:bookmarkEnd w:id="32"/>
      <w:bookmarkEnd w:id="33"/>
      <w:bookmarkEnd w:id="34"/>
      <w:bookmarkEnd w:id="35"/>
      <w:bookmarkEnd w:id="36"/>
      <w:bookmarkEnd w:id="37"/>
    </w:p>
    <w:p w14:paraId="70709600">
      <w:pPr>
        <w:pStyle w:val="58"/>
        <w:ind w:firstLine="420"/>
      </w:pPr>
      <w:bookmarkStart w:id="38" w:name="_Toc17233326"/>
      <w:bookmarkStart w:id="39" w:name="_Toc17233334"/>
      <w:bookmarkStart w:id="40" w:name="_Toc24884219"/>
      <w:bookmarkStart w:id="41" w:name="_Toc26648466"/>
      <w:bookmarkStart w:id="42" w:name="_Toc24884212"/>
      <w:r>
        <w:rPr>
          <w:rFonts w:hint="eastAsia"/>
        </w:rPr>
        <w:t>本文件规定了地理标志产品平度牛肉生产技术规程规范性引用文件、术语和定义、保护范围、生产要求、屠宰加工、产品分级、标签、包装、运输和贮存的要求。</w:t>
      </w:r>
    </w:p>
    <w:p w14:paraId="4C4A74D4">
      <w:pPr>
        <w:pStyle w:val="58"/>
        <w:ind w:firstLine="420"/>
      </w:pPr>
      <w:r>
        <w:rPr>
          <w:rFonts w:hint="eastAsia"/>
        </w:rPr>
        <w:t>本文件适用于地理标志产品保护范围内鲜、冻平度牛肉产品的生产过程。</w:t>
      </w:r>
    </w:p>
    <w:p w14:paraId="1CCEFCF4">
      <w:pPr>
        <w:pStyle w:val="106"/>
        <w:spacing w:before="312" w:after="312"/>
      </w:pPr>
      <w:bookmarkStart w:id="43" w:name="_Toc26986531"/>
      <w:bookmarkStart w:id="44" w:name="_Toc26718931"/>
      <w:bookmarkStart w:id="45" w:name="_Toc185931275"/>
      <w:bookmarkStart w:id="46" w:name="_Toc97191424"/>
      <w:bookmarkStart w:id="47" w:name="_Toc26986772"/>
      <w:bookmarkStart w:id="48" w:name="_Toc185931249"/>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BB0ECA9CC39A4CECB9E5EFD25B4AD13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B2541FD">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D3AE6DF">
      <w:pPr>
        <w:pStyle w:val="232"/>
      </w:pPr>
      <w:r>
        <w:rPr>
          <w:rFonts w:hint="eastAsia" w:hAnsi="宋体"/>
        </w:rPr>
        <w:t>GB 2707</w:t>
      </w:r>
      <w:r>
        <w:rPr>
          <w:rFonts w:hint="eastAsia"/>
        </w:rPr>
        <w:t xml:space="preserve">  </w:t>
      </w:r>
      <w:r>
        <w:rPr>
          <w:rFonts w:hint="eastAsia" w:hAnsi="宋体"/>
        </w:rPr>
        <w:t>食品安全国家标准</w:t>
      </w:r>
      <w:r>
        <w:rPr>
          <w:rFonts w:hint="eastAsia"/>
        </w:rPr>
        <w:t xml:space="preserve"> </w:t>
      </w:r>
      <w:r>
        <w:rPr>
          <w:rFonts w:hint="eastAsia" w:hAnsi="宋体"/>
        </w:rPr>
        <w:t>鲜（冻）畜禽产品</w:t>
      </w:r>
    </w:p>
    <w:p w14:paraId="48CAFB1E">
      <w:pPr>
        <w:pStyle w:val="232"/>
      </w:pPr>
      <w:r>
        <w:rPr>
          <w:rFonts w:hint="eastAsia" w:hAnsi="宋体"/>
        </w:rPr>
        <w:t>GB</w:t>
      </w:r>
      <w:r>
        <w:rPr>
          <w:rFonts w:hint="eastAsia"/>
        </w:rPr>
        <w:t xml:space="preserve"> </w:t>
      </w:r>
      <w:r>
        <w:rPr>
          <w:rFonts w:hint="eastAsia" w:hAnsi="宋体"/>
        </w:rPr>
        <w:t>5749</w:t>
      </w:r>
      <w:r>
        <w:rPr>
          <w:rFonts w:hint="eastAsia"/>
        </w:rPr>
        <w:t xml:space="preserve">  </w:t>
      </w:r>
      <w:r>
        <w:rPr>
          <w:rFonts w:hint="eastAsia" w:hAnsi="宋体"/>
        </w:rPr>
        <w:t>生活饮用水卫生标准</w:t>
      </w:r>
    </w:p>
    <w:p w14:paraId="20BB5636">
      <w:pPr>
        <w:pStyle w:val="232"/>
      </w:pPr>
      <w:r>
        <w:rPr>
          <w:rFonts w:hint="eastAsia" w:hAnsi="宋体"/>
        </w:rPr>
        <w:t>GB 12694  食品安全国家标准</w:t>
      </w:r>
      <w:r>
        <w:rPr>
          <w:rFonts w:hint="eastAsia"/>
        </w:rPr>
        <w:t xml:space="preserve"> </w:t>
      </w:r>
      <w:r>
        <w:rPr>
          <w:rFonts w:hint="eastAsia" w:hAnsi="宋体"/>
        </w:rPr>
        <w:t>畜禽屠宰加工卫生规范</w:t>
      </w:r>
    </w:p>
    <w:p w14:paraId="50DEB448">
      <w:pPr>
        <w:pStyle w:val="232"/>
      </w:pPr>
      <w:r>
        <w:rPr>
          <w:rFonts w:hint="eastAsia" w:hAnsi="宋体"/>
        </w:rPr>
        <w:t>GB</w:t>
      </w:r>
      <w:r>
        <w:rPr>
          <w:rFonts w:hint="eastAsia"/>
        </w:rPr>
        <w:t xml:space="preserve"> </w:t>
      </w:r>
      <w:r>
        <w:rPr>
          <w:rFonts w:hint="eastAsia" w:hAnsi="宋体"/>
        </w:rPr>
        <w:t>13078</w:t>
      </w:r>
      <w:r>
        <w:rPr>
          <w:rFonts w:hint="eastAsia"/>
        </w:rPr>
        <w:t xml:space="preserve">  </w:t>
      </w:r>
      <w:r>
        <w:rPr>
          <w:rFonts w:hint="eastAsia" w:hAnsi="宋体"/>
        </w:rPr>
        <w:t>饲料卫生标准</w:t>
      </w:r>
    </w:p>
    <w:p w14:paraId="61C44260">
      <w:pPr>
        <w:pStyle w:val="232"/>
      </w:pPr>
      <w:r>
        <w:rPr>
          <w:rFonts w:hint="eastAsia" w:hAnsi="宋体"/>
        </w:rPr>
        <w:t>GB</w:t>
      </w:r>
      <w:r>
        <w:rPr>
          <w:rFonts w:hint="eastAsia"/>
        </w:rPr>
        <w:t xml:space="preserve"> </w:t>
      </w:r>
      <w:r>
        <w:rPr>
          <w:rFonts w:hint="eastAsia" w:hAnsi="宋体"/>
        </w:rPr>
        <w:t>18393</w:t>
      </w:r>
      <w:r>
        <w:rPr>
          <w:rFonts w:hint="eastAsia"/>
        </w:rPr>
        <w:t xml:space="preserve">  </w:t>
      </w:r>
      <w:r>
        <w:rPr>
          <w:rFonts w:hint="eastAsia" w:hAnsi="宋体"/>
        </w:rPr>
        <w:t>牛羊屠宰产品品质检验规程</w:t>
      </w:r>
    </w:p>
    <w:p w14:paraId="6DD23415">
      <w:pPr>
        <w:pStyle w:val="232"/>
      </w:pPr>
      <w:r>
        <w:rPr>
          <w:rFonts w:hint="eastAsia" w:hAnsi="宋体"/>
        </w:rPr>
        <w:t>GB 18394  畜禽肉水分限量</w:t>
      </w:r>
    </w:p>
    <w:p w14:paraId="32E98376">
      <w:pPr>
        <w:pStyle w:val="232"/>
      </w:pPr>
      <w:r>
        <w:rPr>
          <w:rFonts w:hint="eastAsia" w:hAnsi="宋体"/>
        </w:rPr>
        <w:t>GB/T 6543  运输包装用单瓦楞纸箱和双瓦楞纸箱</w:t>
      </w:r>
    </w:p>
    <w:p w14:paraId="4297CECA">
      <w:pPr>
        <w:pStyle w:val="232"/>
      </w:pPr>
      <w:r>
        <w:rPr>
          <w:rFonts w:hint="eastAsia" w:hAnsi="宋体"/>
        </w:rPr>
        <w:t>GB/T 17238</w:t>
      </w:r>
      <w:r>
        <w:rPr>
          <w:rFonts w:hint="eastAsia"/>
        </w:rPr>
        <w:t xml:space="preserve">  </w:t>
      </w:r>
      <w:r>
        <w:rPr>
          <w:rFonts w:hint="eastAsia" w:hAnsi="宋体"/>
        </w:rPr>
        <w:t>鲜、冻分割牛肉</w:t>
      </w:r>
    </w:p>
    <w:p w14:paraId="182B7A83">
      <w:pPr>
        <w:pStyle w:val="232"/>
      </w:pPr>
      <w:r>
        <w:rPr>
          <w:rFonts w:hint="eastAsia" w:hAnsi="宋体"/>
        </w:rPr>
        <w:t>GB/T 19477</w:t>
      </w:r>
      <w:r>
        <w:rPr>
          <w:rFonts w:hint="eastAsia"/>
        </w:rPr>
        <w:t xml:space="preserve">  </w:t>
      </w:r>
      <w:r>
        <w:rPr>
          <w:rFonts w:hint="eastAsia" w:hAnsi="宋体"/>
        </w:rPr>
        <w:t>畜禽屠宰操作规程</w:t>
      </w:r>
      <w:r>
        <w:rPr>
          <w:rFonts w:hint="eastAsia"/>
        </w:rPr>
        <w:t xml:space="preserve"> </w:t>
      </w:r>
      <w:r>
        <w:rPr>
          <w:rFonts w:hint="eastAsia" w:hAnsi="宋体"/>
        </w:rPr>
        <w:t>牛</w:t>
      </w:r>
    </w:p>
    <w:p w14:paraId="646A5D79">
      <w:pPr>
        <w:pStyle w:val="232"/>
      </w:pPr>
      <w:r>
        <w:rPr>
          <w:rFonts w:hint="eastAsia" w:hAnsi="宋体"/>
        </w:rPr>
        <w:t>GB/T 27643</w:t>
      </w:r>
      <w:r>
        <w:rPr>
          <w:rFonts w:hint="eastAsia"/>
        </w:rPr>
        <w:t xml:space="preserve">  </w:t>
      </w:r>
      <w:r>
        <w:rPr>
          <w:rFonts w:hint="eastAsia" w:hAnsi="宋体"/>
        </w:rPr>
        <w:t>牛胴体及鲜肉分割</w:t>
      </w:r>
    </w:p>
    <w:p w14:paraId="09EC4835">
      <w:pPr>
        <w:pStyle w:val="232"/>
      </w:pPr>
      <w:r>
        <w:rPr>
          <w:rFonts w:hint="eastAsia" w:hAnsi="宋体"/>
        </w:rPr>
        <w:t>GB/T 29392</w:t>
      </w:r>
      <w:r>
        <w:rPr>
          <w:rFonts w:hint="eastAsia"/>
        </w:rPr>
        <w:t xml:space="preserve">  </w:t>
      </w:r>
      <w:r>
        <w:rPr>
          <w:rFonts w:hint="eastAsia" w:hAnsi="宋体"/>
        </w:rPr>
        <w:t>畜禽肉质量分级</w:t>
      </w:r>
      <w:r>
        <w:rPr>
          <w:rFonts w:hint="eastAsia"/>
        </w:rPr>
        <w:t xml:space="preserve"> </w:t>
      </w:r>
      <w:r>
        <w:rPr>
          <w:rFonts w:hint="eastAsia" w:hAnsi="宋体"/>
        </w:rPr>
        <w:t>牛肉</w:t>
      </w:r>
    </w:p>
    <w:p w14:paraId="49DEE501">
      <w:pPr>
        <w:pStyle w:val="232"/>
      </w:pPr>
      <w:r>
        <w:rPr>
          <w:rFonts w:hint="eastAsia" w:hAnsi="宋体"/>
        </w:rPr>
        <w:t>GB/T 39915  动物饲养场防疫准则</w:t>
      </w:r>
    </w:p>
    <w:p w14:paraId="5B3B8106">
      <w:pPr>
        <w:pStyle w:val="232"/>
      </w:pPr>
      <w:r>
        <w:rPr>
          <w:rFonts w:hint="eastAsia"/>
        </w:rPr>
        <w:t xml:space="preserve">JJF 1070  </w:t>
      </w:r>
      <w:r>
        <w:rPr>
          <w:rFonts w:hint="eastAsia" w:hAnsi="宋体"/>
        </w:rPr>
        <w:t>定量包装商品净含量计量检验规则</w:t>
      </w:r>
    </w:p>
    <w:p w14:paraId="6032E462">
      <w:pPr>
        <w:pStyle w:val="58"/>
        <w:ind w:firstLine="420"/>
      </w:pPr>
      <w:r>
        <w:rPr>
          <w:rFonts w:hint="eastAsia" w:hAnsi="宋体"/>
        </w:rPr>
        <w:t>NY/T 815  肉牛饲养标准</w:t>
      </w:r>
    </w:p>
    <w:p w14:paraId="58E00391">
      <w:pPr>
        <w:pStyle w:val="232"/>
      </w:pPr>
      <w:r>
        <w:rPr>
          <w:rFonts w:hint="eastAsia" w:hAnsi="宋体"/>
        </w:rPr>
        <w:t>NY/T 2663</w:t>
      </w:r>
      <w:r>
        <w:rPr>
          <w:rFonts w:hint="eastAsia"/>
        </w:rPr>
        <w:t xml:space="preserve">  </w:t>
      </w:r>
      <w:r>
        <w:rPr>
          <w:rFonts w:hint="eastAsia" w:hAnsi="宋体"/>
        </w:rPr>
        <w:t>标准化养殖场</w:t>
      </w:r>
      <w:r>
        <w:rPr>
          <w:rFonts w:hint="eastAsia"/>
        </w:rPr>
        <w:t xml:space="preserve"> </w:t>
      </w:r>
      <w:r>
        <w:rPr>
          <w:rFonts w:hint="eastAsia" w:hAnsi="宋体"/>
        </w:rPr>
        <w:t>肉牛</w:t>
      </w:r>
    </w:p>
    <w:p w14:paraId="744A1709">
      <w:pPr>
        <w:pStyle w:val="58"/>
        <w:ind w:firstLine="420"/>
      </w:pPr>
      <w:r>
        <w:rPr>
          <w:rFonts w:hint="eastAsia" w:hAnsi="宋体"/>
        </w:rPr>
        <w:t>NY/T 3383</w:t>
      </w:r>
      <w:r>
        <w:rPr>
          <w:rFonts w:hint="eastAsia"/>
        </w:rPr>
        <w:t xml:space="preserve">  </w:t>
      </w:r>
      <w:r>
        <w:rPr>
          <w:rFonts w:hint="eastAsia" w:hAnsi="宋体"/>
        </w:rPr>
        <w:t>畜禽产品包装与标识</w:t>
      </w:r>
    </w:p>
    <w:p w14:paraId="5915F73C">
      <w:pPr>
        <w:pStyle w:val="106"/>
        <w:spacing w:before="312" w:after="312"/>
      </w:pPr>
      <w:bookmarkStart w:id="49" w:name="_Toc97191425"/>
      <w:bookmarkStart w:id="50" w:name="_Toc185931250"/>
      <w:bookmarkStart w:id="51" w:name="_Toc185931276"/>
      <w:r>
        <w:rPr>
          <w:rFonts w:hint="eastAsia"/>
          <w:szCs w:val="21"/>
        </w:rPr>
        <w:t>术语和定义</w:t>
      </w:r>
      <w:bookmarkEnd w:id="49"/>
      <w:bookmarkEnd w:id="50"/>
      <w:bookmarkEnd w:id="51"/>
    </w:p>
    <w:sdt>
      <w:sdtPr>
        <w:id w:val="-1909835108"/>
        <w:placeholder>
          <w:docPart w:val="A1B491CB0B3E4AFAB389269BF24F0F8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B837675">
          <w:pPr>
            <w:pStyle w:val="58"/>
            <w:ind w:firstLine="420"/>
          </w:pPr>
          <w:bookmarkStart w:id="52" w:name="_Toc26986532"/>
          <w:bookmarkEnd w:id="52"/>
          <w:r>
            <w:t>下列术语和定义适用于本文件。</w:t>
          </w:r>
        </w:p>
      </w:sdtContent>
    </w:sdt>
    <w:p w14:paraId="17227D42">
      <w:pPr>
        <w:pStyle w:val="107"/>
        <w:keepNext w:val="0"/>
        <w:keepLines w:val="0"/>
        <w:pageBreakBefore w:val="0"/>
        <w:widowControl/>
        <w:kinsoku/>
        <w:wordWrap/>
        <w:overflowPunct/>
        <w:topLinePunct w:val="0"/>
        <w:autoSpaceDE/>
        <w:autoSpaceDN/>
        <w:bidi w:val="0"/>
        <w:adjustRightInd/>
        <w:snapToGrid/>
        <w:spacing w:before="0" w:beforeLines="0" w:after="0" w:afterLines="0"/>
        <w:textAlignment w:val="auto"/>
        <w:rPr>
          <w:szCs w:val="21"/>
        </w:rPr>
      </w:pPr>
      <w:bookmarkStart w:id="53" w:name="_Toc185931251"/>
      <w:bookmarkStart w:id="82" w:name="_GoBack"/>
      <w:bookmarkEnd w:id="82"/>
    </w:p>
    <w:p w14:paraId="76F279A4">
      <w:pPr>
        <w:pStyle w:val="107"/>
        <w:keepNext w:val="0"/>
        <w:keepLines w:val="0"/>
        <w:pageBreakBefore w:val="0"/>
        <w:widowControl/>
        <w:numPr>
          <w:numId w:val="0"/>
        </w:numPr>
        <w:kinsoku/>
        <w:wordWrap/>
        <w:overflowPunct/>
        <w:topLinePunct w:val="0"/>
        <w:autoSpaceDE/>
        <w:autoSpaceDN/>
        <w:bidi w:val="0"/>
        <w:adjustRightInd/>
        <w:snapToGrid/>
        <w:spacing w:before="0" w:beforeLines="0" w:after="0" w:afterLines="0"/>
        <w:ind w:leftChars="0" w:firstLine="420" w:firstLineChars="200"/>
        <w:textAlignment w:val="auto"/>
        <w:rPr>
          <w:szCs w:val="21"/>
        </w:rPr>
      </w:pPr>
      <w:r>
        <w:rPr>
          <w:rFonts w:hint="eastAsia"/>
        </w:rPr>
        <w:t>平度牛肉  Pingdu Beef</w:t>
      </w:r>
      <w:bookmarkEnd w:id="53"/>
    </w:p>
    <w:p w14:paraId="6BB971A9">
      <w:pPr>
        <w:pStyle w:val="58"/>
        <w:ind w:firstLine="420"/>
        <w:rPr>
          <w:rFonts w:hint="eastAsia"/>
        </w:rPr>
      </w:pPr>
      <w:r>
        <w:rPr>
          <w:rFonts w:hint="eastAsia"/>
        </w:rPr>
        <w:t>来自于平度市地理标志产品保护区范围内的</w:t>
      </w:r>
      <w:r>
        <w:rPr>
          <w:rFonts w:hint="eastAsia"/>
        </w:rPr>
        <w:t>肉用牛，育肥</w:t>
      </w:r>
      <w:r>
        <w:rPr>
          <w:rFonts w:hint="eastAsia"/>
        </w:rPr>
        <w:t>后经屠宰加工生产的雪花纹浓密、口感细滑、肉香纯正</w:t>
      </w:r>
      <w:r>
        <w:rPr>
          <w:rFonts w:hint="eastAsia"/>
        </w:rPr>
        <w:t>的鲜、冻牛肉产品。</w:t>
      </w:r>
    </w:p>
    <w:p w14:paraId="5BD7518C">
      <w:pPr>
        <w:pStyle w:val="107"/>
        <w:keepNext w:val="0"/>
        <w:keepLines w:val="0"/>
        <w:pageBreakBefore w:val="0"/>
        <w:widowControl/>
        <w:kinsoku/>
        <w:wordWrap/>
        <w:overflowPunct/>
        <w:topLinePunct w:val="0"/>
        <w:autoSpaceDE/>
        <w:autoSpaceDN/>
        <w:bidi w:val="0"/>
        <w:adjustRightInd/>
        <w:snapToGrid/>
        <w:spacing w:before="0" w:beforeLines="0" w:after="0" w:afterLines="0"/>
        <w:textAlignment w:val="auto"/>
      </w:pPr>
      <w:bookmarkStart w:id="54" w:name="_Toc185931252"/>
    </w:p>
    <w:p w14:paraId="649F2BF3">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rPr>
      </w:pPr>
      <w:r>
        <w:rPr>
          <w:rFonts w:hint="eastAsia"/>
        </w:rPr>
        <w:t>牛柳(里脊)</w:t>
      </w:r>
      <w:r>
        <w:rPr>
          <w:rFonts w:hint="eastAsia"/>
        </w:rPr>
        <w:t xml:space="preserve"> tenderloin</w:t>
      </w:r>
      <w:bookmarkEnd w:id="54"/>
    </w:p>
    <w:p w14:paraId="0CCE52AB">
      <w:pPr>
        <w:pStyle w:val="58"/>
        <w:ind w:firstLine="420"/>
        <w:rPr>
          <w:rFonts w:hint="eastAsia"/>
        </w:rPr>
      </w:pPr>
      <w:r>
        <w:rPr>
          <w:rFonts w:hint="eastAsia"/>
        </w:rPr>
        <w:t>取自牛胴体腰部内侧带有完整里脊头的净肉。</w:t>
      </w:r>
    </w:p>
    <w:p w14:paraId="38C29F41">
      <w:pPr>
        <w:pStyle w:val="107"/>
        <w:keepNext w:val="0"/>
        <w:keepLines w:val="0"/>
        <w:pageBreakBefore w:val="0"/>
        <w:widowControl/>
        <w:kinsoku/>
        <w:wordWrap/>
        <w:overflowPunct/>
        <w:topLinePunct w:val="0"/>
        <w:autoSpaceDE/>
        <w:autoSpaceDN/>
        <w:bidi w:val="0"/>
        <w:adjustRightInd/>
        <w:snapToGrid/>
        <w:spacing w:before="0" w:beforeLines="0" w:after="0" w:afterLines="0"/>
        <w:textAlignment w:val="auto"/>
      </w:pPr>
      <w:bookmarkStart w:id="55" w:name="_Toc185931253"/>
    </w:p>
    <w:p w14:paraId="0FB175DB">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rPr>
      </w:pPr>
      <w:r>
        <w:rPr>
          <w:rFonts w:hint="eastAsia"/>
        </w:rPr>
        <w:t>西冷(外脊)</w:t>
      </w:r>
      <w:r>
        <w:rPr>
          <w:rFonts w:hint="eastAsia"/>
        </w:rPr>
        <w:t xml:space="preserve">  striploin</w:t>
      </w:r>
      <w:bookmarkEnd w:id="55"/>
    </w:p>
    <w:p w14:paraId="129944C5">
      <w:pPr>
        <w:pStyle w:val="58"/>
        <w:ind w:firstLine="420"/>
        <w:rPr>
          <w:rFonts w:ascii="Times New Roman"/>
          <w:kern w:val="2"/>
        </w:rPr>
      </w:pPr>
      <w:r>
        <w:t>取自牛胴体从</w:t>
      </w:r>
      <w:r>
        <w:rPr>
          <w:rFonts w:ascii="Times New Roman"/>
        </w:rPr>
        <w:t>12</w:t>
      </w:r>
      <w:r>
        <w:t>～</w:t>
      </w:r>
      <w:r>
        <w:rPr>
          <w:rFonts w:ascii="Times New Roman"/>
        </w:rPr>
        <w:t>13</w:t>
      </w:r>
      <w:r>
        <w:t>胸椎椎窝中间处到第</w:t>
      </w:r>
      <w:r>
        <w:rPr>
          <w:rFonts w:ascii="Times New Roman"/>
        </w:rPr>
        <w:t>6</w:t>
      </w:r>
      <w:r>
        <w:t>腰椎外横界垂直横截，沿背最长肌下缘切开的净肉，主要是背最长肌。</w:t>
      </w:r>
    </w:p>
    <w:p w14:paraId="1DE25286">
      <w:pPr>
        <w:pStyle w:val="107"/>
        <w:keepNext w:val="0"/>
        <w:keepLines w:val="0"/>
        <w:pageBreakBefore w:val="0"/>
        <w:widowControl/>
        <w:kinsoku/>
        <w:wordWrap/>
        <w:overflowPunct/>
        <w:topLinePunct w:val="0"/>
        <w:autoSpaceDE/>
        <w:autoSpaceDN/>
        <w:bidi w:val="0"/>
        <w:adjustRightInd/>
        <w:snapToGrid/>
        <w:spacing w:before="0" w:beforeLines="0" w:after="0" w:afterLines="0"/>
        <w:textAlignment w:val="auto"/>
      </w:pPr>
      <w:bookmarkStart w:id="56" w:name="_Toc185931254"/>
    </w:p>
    <w:p w14:paraId="33ABAE80">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rPr>
      </w:pPr>
      <w:r>
        <w:rPr>
          <w:rFonts w:hint="eastAsia"/>
        </w:rPr>
        <w:t>肉眼</w:t>
      </w:r>
      <w:r>
        <w:rPr>
          <w:rFonts w:hint="eastAsia"/>
        </w:rPr>
        <w:t xml:space="preserve">  ribeye</w:t>
      </w:r>
      <w:bookmarkEnd w:id="56"/>
    </w:p>
    <w:p w14:paraId="667F8F19">
      <w:pPr>
        <w:pStyle w:val="58"/>
        <w:ind w:firstLine="420"/>
        <w:rPr>
          <w:rFonts w:ascii="Times New Roman"/>
          <w:kern w:val="2"/>
        </w:rPr>
      </w:pPr>
      <w:r>
        <w:t>取自牛胴体第</w:t>
      </w:r>
      <w:r>
        <w:rPr>
          <w:rFonts w:ascii="Times New Roman"/>
        </w:rPr>
        <w:t>6</w:t>
      </w:r>
      <w:r>
        <w:t>胸椎到第</w:t>
      </w:r>
      <w:r>
        <w:rPr>
          <w:rFonts w:ascii="Times New Roman"/>
        </w:rPr>
        <w:t>12</w:t>
      </w:r>
      <w:r>
        <w:t>～</w:t>
      </w:r>
      <w:r>
        <w:rPr>
          <w:rFonts w:ascii="Times New Roman"/>
        </w:rPr>
        <w:t>13</w:t>
      </w:r>
      <w:r>
        <w:t>胸椎间的净肉。前端与上脑相连，后端与外脊相连，主要包括背阔肌、背最长肌、肋间肌等。</w:t>
      </w:r>
    </w:p>
    <w:p w14:paraId="32CCAC79">
      <w:pPr>
        <w:pStyle w:val="107"/>
        <w:keepNext w:val="0"/>
        <w:keepLines w:val="0"/>
        <w:pageBreakBefore w:val="0"/>
        <w:widowControl/>
        <w:kinsoku/>
        <w:wordWrap/>
        <w:overflowPunct/>
        <w:topLinePunct w:val="0"/>
        <w:autoSpaceDE/>
        <w:autoSpaceDN/>
        <w:bidi w:val="0"/>
        <w:adjustRightInd/>
        <w:snapToGrid/>
        <w:spacing w:before="0" w:beforeLines="0" w:after="0" w:afterLines="0"/>
        <w:textAlignment w:val="auto"/>
      </w:pPr>
      <w:bookmarkStart w:id="57" w:name="_Toc185931255"/>
    </w:p>
    <w:p w14:paraId="1601D0CF">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rPr>
      </w:pPr>
      <w:r>
        <w:rPr>
          <w:rFonts w:hint="eastAsia"/>
        </w:rPr>
        <w:t>上脑</w:t>
      </w:r>
      <w:r>
        <w:rPr>
          <w:rFonts w:hint="eastAsia"/>
        </w:rPr>
        <w:t xml:space="preserve">  high rib</w:t>
      </w:r>
      <w:bookmarkEnd w:id="57"/>
    </w:p>
    <w:p w14:paraId="7FD4BEE2">
      <w:pPr>
        <w:pStyle w:val="58"/>
        <w:ind w:firstLine="420"/>
        <w:rPr>
          <w:rFonts w:ascii="Times New Roman"/>
          <w:kern w:val="2"/>
        </w:rPr>
      </w:pPr>
      <w:r>
        <w:t>取自牛胴体最后颈椎到第</w:t>
      </w:r>
      <w:r>
        <w:rPr>
          <w:rFonts w:ascii="Times New Roman"/>
        </w:rPr>
        <w:t>6</w:t>
      </w:r>
      <w:r>
        <w:t>胸椎间的净肉。前端始于最后颈椎后缘，后端与眼肉相连，主要包括背最长肌、斜方肌等。</w:t>
      </w:r>
    </w:p>
    <w:p w14:paraId="6EED9D34">
      <w:pPr>
        <w:pStyle w:val="107"/>
        <w:keepNext w:val="0"/>
        <w:keepLines w:val="0"/>
        <w:pageBreakBefore w:val="0"/>
        <w:widowControl/>
        <w:kinsoku/>
        <w:wordWrap/>
        <w:overflowPunct/>
        <w:topLinePunct w:val="0"/>
        <w:autoSpaceDE/>
        <w:autoSpaceDN/>
        <w:bidi w:val="0"/>
        <w:adjustRightInd/>
        <w:snapToGrid/>
        <w:spacing w:before="0" w:beforeLines="0" w:after="0" w:afterLines="0"/>
        <w:textAlignment w:val="auto"/>
      </w:pPr>
      <w:bookmarkStart w:id="58" w:name="_Toc185931256"/>
    </w:p>
    <w:p w14:paraId="5413FD8D">
      <w:pPr>
        <w:pStyle w:val="10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ind w:leftChars="0" w:firstLine="420" w:firstLineChars="200"/>
        <w:textAlignment w:val="auto"/>
        <w:rPr>
          <w:rFonts w:hint="eastAsia"/>
        </w:rPr>
      </w:pPr>
      <w:r>
        <w:rPr>
          <w:rFonts w:hint="eastAsia"/>
        </w:rPr>
        <w:t>S腹肉S-flank</w:t>
      </w:r>
      <w:bookmarkEnd w:id="58"/>
    </w:p>
    <w:p w14:paraId="31C95998">
      <w:pPr>
        <w:pStyle w:val="58"/>
        <w:ind w:firstLine="420"/>
        <w:rPr>
          <w:rFonts w:ascii="Times New Roman"/>
          <w:kern w:val="2"/>
        </w:rPr>
      </w:pPr>
      <w:r>
        <w:t>位于牛腹部第</w:t>
      </w:r>
      <w:r>
        <w:rPr>
          <w:rFonts w:ascii="Times New Roman"/>
        </w:rPr>
        <w:t>7</w:t>
      </w:r>
      <w:r>
        <w:t>根胸肋至第</w:t>
      </w:r>
      <w:r>
        <w:rPr>
          <w:rFonts w:ascii="Times New Roman"/>
        </w:rPr>
        <w:t>9</w:t>
      </w:r>
      <w:r>
        <w:t>根胸肋之下，去除肋骨后的净肉，主要包括肋间外肌、肋间内肌</w:t>
      </w:r>
      <w:r>
        <w:rPr>
          <w:rFonts w:hint="eastAsia"/>
        </w:rPr>
        <w:t>。</w:t>
      </w:r>
    </w:p>
    <w:p w14:paraId="22615528">
      <w:pPr>
        <w:pStyle w:val="58"/>
        <w:ind w:firstLine="420"/>
        <w:rPr>
          <w:rFonts w:ascii="Times New Roman"/>
        </w:rPr>
      </w:pPr>
      <w:r>
        <w:rPr>
          <w:rFonts w:hint="eastAsia" w:hAnsi="宋体"/>
        </w:rPr>
        <w:t>其他分割部位牛肉名称参考</w:t>
      </w:r>
      <w:r>
        <w:rPr>
          <w:rFonts w:hint="eastAsia" w:ascii="Times New Roman"/>
        </w:rPr>
        <w:t>GB/T 17238</w:t>
      </w:r>
      <w:r>
        <w:rPr>
          <w:rFonts w:hint="eastAsia" w:hAnsi="宋体"/>
        </w:rPr>
        <w:t>。</w:t>
      </w:r>
    </w:p>
    <w:p w14:paraId="36FF491B">
      <w:pPr>
        <w:pStyle w:val="106"/>
        <w:spacing w:before="312" w:after="312"/>
        <w:rPr>
          <w:rFonts w:ascii="Calibri" w:hAnsi="Calibri"/>
        </w:rPr>
      </w:pPr>
      <w:bookmarkStart w:id="59" w:name="_Toc185931257"/>
      <w:bookmarkStart w:id="60" w:name="_Toc185931277"/>
      <w:r>
        <w:rPr>
          <w:rFonts w:hint="eastAsia"/>
        </w:rPr>
        <w:t>保护范围</w:t>
      </w:r>
      <w:bookmarkEnd w:id="59"/>
      <w:bookmarkEnd w:id="60"/>
    </w:p>
    <w:p w14:paraId="7BA84ADA">
      <w:pPr>
        <w:pStyle w:val="58"/>
        <w:ind w:firstLine="420"/>
      </w:pPr>
      <w:r>
        <w:rPr>
          <w:rFonts w:hint="eastAsia"/>
        </w:rPr>
        <w:t>平度牛肉地理标志产品保护范围限于国家质量监督检验检疫部门根据《地理标志产品保护规定》批准的范围，平度市现所辖10处镇、街道办事处（见本标准附录A）。</w:t>
      </w:r>
    </w:p>
    <w:p w14:paraId="6DEFD411">
      <w:pPr>
        <w:pStyle w:val="106"/>
        <w:spacing w:before="312" w:after="312"/>
      </w:pPr>
      <w:bookmarkStart w:id="61" w:name="_Toc185931258"/>
      <w:bookmarkStart w:id="62" w:name="_Toc185931278"/>
      <w:r>
        <w:rPr>
          <w:rFonts w:hint="eastAsia"/>
        </w:rPr>
        <w:t>生产要求</w:t>
      </w:r>
      <w:bookmarkEnd w:id="61"/>
      <w:bookmarkEnd w:id="62"/>
    </w:p>
    <w:p w14:paraId="4818876E">
      <w:pPr>
        <w:pStyle w:val="107"/>
        <w:spacing w:before="156" w:after="156"/>
      </w:pPr>
      <w:bookmarkStart w:id="63" w:name="_Toc185931259"/>
      <w:r>
        <w:rPr>
          <w:rFonts w:hint="eastAsia"/>
        </w:rPr>
        <w:t>品种</w:t>
      </w:r>
      <w:bookmarkEnd w:id="63"/>
    </w:p>
    <w:p w14:paraId="1EE01334">
      <w:pPr>
        <w:pStyle w:val="58"/>
        <w:widowControl w:val="0"/>
        <w:ind w:firstLine="420"/>
      </w:pPr>
      <w:r>
        <w:rPr>
          <w:rFonts w:hint="eastAsia" w:hAnsi="宋体"/>
        </w:rPr>
        <w:t>鲁西黄牛及其杂交后代。</w:t>
      </w:r>
    </w:p>
    <w:p w14:paraId="37250EF0">
      <w:pPr>
        <w:pStyle w:val="107"/>
        <w:spacing w:before="156" w:after="156"/>
      </w:pPr>
      <w:bookmarkStart w:id="64" w:name="_Toc185931260"/>
      <w:r>
        <w:rPr>
          <w:rFonts w:hint="eastAsia"/>
        </w:rPr>
        <w:t>产地环境</w:t>
      </w:r>
      <w:bookmarkEnd w:id="64"/>
    </w:p>
    <w:p w14:paraId="368646E6">
      <w:pPr>
        <w:pStyle w:val="58"/>
        <w:ind w:firstLine="420"/>
      </w:pPr>
      <w:r>
        <w:rPr>
          <w:rFonts w:hint="eastAsia"/>
        </w:rPr>
        <w:t>位于胶东半岛西部的平度市，属暖温带大陆性季风气候，四季分明，年平均气温12.2℃，牛应激少，气温适宜肉牛进行集中育肥。年均降雨量600mm，水资源充足，地下水质良好，多种矿物质和微量元素能够显著提高牛肉品质。</w:t>
      </w:r>
    </w:p>
    <w:p w14:paraId="0FB693FB">
      <w:pPr>
        <w:pStyle w:val="58"/>
        <w:ind w:firstLine="420"/>
      </w:pPr>
      <w:r>
        <w:rPr>
          <w:rFonts w:hint="eastAsia"/>
        </w:rPr>
        <w:t>产地范围的土壤主要为砂壤土，分层结构合理、营养成分丰富，种植的玉米等饲料作物品质上乘，从而保证了青贮饲料和精料的良好品质。</w:t>
      </w:r>
    </w:p>
    <w:p w14:paraId="2AEE1929">
      <w:pPr>
        <w:pStyle w:val="67"/>
        <w:spacing w:before="156" w:after="156"/>
      </w:pPr>
      <w:r>
        <w:rPr>
          <w:rFonts w:hint="eastAsia"/>
        </w:rPr>
        <w:t>建场选址</w:t>
      </w:r>
    </w:p>
    <w:p w14:paraId="1F09AF92">
      <w:pPr>
        <w:pStyle w:val="58"/>
        <w:ind w:firstLine="420"/>
        <w:rPr>
          <w:rFonts w:ascii="黑体" w:eastAsia="黑体"/>
        </w:rPr>
      </w:pPr>
      <w:r>
        <w:rPr>
          <w:rFonts w:hint="eastAsia"/>
        </w:rPr>
        <w:t>依据NY/T</w:t>
      </w:r>
      <w:r>
        <w:rPr>
          <w:rFonts w:hint="eastAsia" w:cs="Calibri"/>
        </w:rPr>
        <w:t xml:space="preserve"> 2663</w:t>
      </w:r>
      <w:r>
        <w:rPr>
          <w:rFonts w:hint="eastAsia"/>
        </w:rPr>
        <w:t>要求，选择地势高、背风向阳之处建设牛舍，饮水水质达到国家Ⅱ级标准。符合动物防疫条件，根据生产规模需要建设。</w:t>
      </w:r>
    </w:p>
    <w:p w14:paraId="5622D98A">
      <w:pPr>
        <w:pStyle w:val="107"/>
        <w:spacing w:before="156" w:after="156"/>
      </w:pPr>
      <w:bookmarkStart w:id="65" w:name="_Toc185931261"/>
      <w:r>
        <w:rPr>
          <w:rFonts w:hint="eastAsia"/>
        </w:rPr>
        <w:t>饲养管理</w:t>
      </w:r>
      <w:bookmarkEnd w:id="65"/>
    </w:p>
    <w:p w14:paraId="25C87523">
      <w:pPr>
        <w:pStyle w:val="58"/>
        <w:ind w:firstLine="420"/>
        <w:rPr>
          <w:rFonts w:ascii="Calibri" w:hAnsi="Calibri"/>
          <w:kern w:val="2"/>
        </w:rPr>
      </w:pPr>
      <w:r>
        <w:rPr>
          <w:rFonts w:hint="eastAsia"/>
        </w:rPr>
        <w:t>肉牛养殖技术符合</w:t>
      </w:r>
      <w:r>
        <w:rPr>
          <w:rFonts w:hint="eastAsia" w:cs="Calibri"/>
        </w:rPr>
        <w:t>NY/T 815</w:t>
      </w:r>
      <w:r>
        <w:rPr>
          <w:rFonts w:hint="eastAsia"/>
        </w:rPr>
        <w:t>要求。</w:t>
      </w:r>
    </w:p>
    <w:p w14:paraId="488C50F2">
      <w:pPr>
        <w:pStyle w:val="67"/>
        <w:spacing w:before="156" w:after="156"/>
      </w:pPr>
      <w:r>
        <w:rPr>
          <w:rFonts w:hint="eastAsia"/>
        </w:rPr>
        <w:t>投入品</w:t>
      </w:r>
    </w:p>
    <w:p w14:paraId="5AD05EA2">
      <w:pPr>
        <w:pStyle w:val="58"/>
        <w:ind w:firstLine="420"/>
        <w:rPr>
          <w:rFonts w:ascii="Calibri" w:hAnsi="Calibri"/>
          <w:kern w:val="2"/>
        </w:rPr>
      </w:pPr>
      <w:r>
        <w:rPr>
          <w:rFonts w:hint="eastAsia"/>
        </w:rPr>
        <w:t>使用饲草、饲料和饲料添加剂符合卫生标准</w:t>
      </w:r>
      <w:r>
        <w:rPr>
          <w:rFonts w:hint="eastAsia" w:cs="Calibri"/>
        </w:rPr>
        <w:t>GB 13078</w:t>
      </w:r>
      <w:r>
        <w:rPr>
          <w:rFonts w:hint="eastAsia"/>
        </w:rPr>
        <w:t>，选用国家饲料行政管理部门允许使用饲料、饲料添加剂目录内品种，遵守饲料和饲料添加剂安全使用规范。</w:t>
      </w:r>
    </w:p>
    <w:p w14:paraId="5092A145">
      <w:pPr>
        <w:pStyle w:val="58"/>
        <w:ind w:firstLine="420"/>
      </w:pPr>
      <w:r>
        <w:rPr>
          <w:rFonts w:hint="eastAsia"/>
        </w:rPr>
        <w:t>遵兽医嘱咐或按照兽医处方科学合理使用兽药，严格执行兽药休药期规定，禁止使用国家兽医行政管理部门禁止使用的药物及其他化合物。</w:t>
      </w:r>
    </w:p>
    <w:p w14:paraId="04E8DA03">
      <w:pPr>
        <w:pStyle w:val="67"/>
        <w:spacing w:before="156" w:after="156"/>
      </w:pPr>
      <w:r>
        <w:rPr>
          <w:rFonts w:hint="eastAsia"/>
        </w:rPr>
        <w:t>饮用水</w:t>
      </w:r>
    </w:p>
    <w:p w14:paraId="6CD7B875">
      <w:pPr>
        <w:pStyle w:val="58"/>
        <w:ind w:firstLine="420"/>
        <w:rPr>
          <w:rFonts w:ascii="Calibri" w:hAnsi="Calibri"/>
          <w:kern w:val="2"/>
        </w:rPr>
      </w:pPr>
      <w:r>
        <w:rPr>
          <w:rFonts w:hint="eastAsia"/>
        </w:rPr>
        <w:t>动物饮用水符合</w:t>
      </w:r>
      <w:r>
        <w:rPr>
          <w:rFonts w:hint="eastAsia" w:cs="Calibri"/>
        </w:rPr>
        <w:t>GB 5749</w:t>
      </w:r>
      <w:r>
        <w:rPr>
          <w:rFonts w:hint="eastAsia"/>
        </w:rPr>
        <w:t>标准。</w:t>
      </w:r>
    </w:p>
    <w:p w14:paraId="72F8E6BE">
      <w:pPr>
        <w:pStyle w:val="67"/>
        <w:spacing w:before="156" w:after="156"/>
      </w:pPr>
      <w:r>
        <w:rPr>
          <w:rFonts w:hint="eastAsia"/>
        </w:rPr>
        <w:t>饲养方式</w:t>
      </w:r>
    </w:p>
    <w:p w14:paraId="4F4E95B3">
      <w:pPr>
        <w:pStyle w:val="58"/>
        <w:ind w:firstLine="420"/>
        <w:rPr>
          <w:rFonts w:ascii="Calibri" w:hAnsi="Calibri"/>
          <w:kern w:val="2"/>
        </w:rPr>
      </w:pPr>
      <w:r>
        <w:rPr>
          <w:rFonts w:hint="eastAsia"/>
        </w:rPr>
        <w:t>舍饲，适量运动。</w:t>
      </w:r>
    </w:p>
    <w:p w14:paraId="3F6AE60A">
      <w:pPr>
        <w:pStyle w:val="67"/>
        <w:spacing w:before="156" w:after="156"/>
      </w:pPr>
      <w:r>
        <w:rPr>
          <w:rFonts w:hint="eastAsia"/>
        </w:rPr>
        <w:t>日常管理</w:t>
      </w:r>
    </w:p>
    <w:p w14:paraId="4BD8957C">
      <w:pPr>
        <w:pStyle w:val="96"/>
        <w:spacing w:before="156" w:after="156"/>
      </w:pPr>
      <w:r>
        <w:rPr>
          <w:rFonts w:hint="eastAsia"/>
        </w:rPr>
        <w:t>犊牛管理</w:t>
      </w:r>
    </w:p>
    <w:p w14:paraId="7AF7866B">
      <w:pPr>
        <w:pStyle w:val="58"/>
        <w:ind w:firstLine="420"/>
        <w:rPr>
          <w:rFonts w:ascii="黑体" w:eastAsia="黑体"/>
        </w:rPr>
      </w:pPr>
      <w:r>
        <w:rPr>
          <w:rFonts w:hint="eastAsia"/>
        </w:rPr>
        <w:t>犊牛出生后，</w:t>
      </w:r>
      <w:r>
        <w:rPr>
          <w:rFonts w:hint="eastAsia" w:cs="Calibri"/>
        </w:rPr>
        <w:t>3m</w:t>
      </w:r>
      <w:r>
        <w:rPr>
          <w:rFonts w:hint="eastAsia"/>
        </w:rPr>
        <w:t>龄以前以哺乳喂养为主，公牛</w:t>
      </w:r>
      <w:r>
        <w:rPr>
          <w:rFonts w:hint="eastAsia" w:cs="Calibri"/>
        </w:rPr>
        <w:t>5m</w:t>
      </w:r>
      <w:r>
        <w:rPr>
          <w:rFonts w:hint="eastAsia"/>
        </w:rPr>
        <w:t>龄去势，</w:t>
      </w:r>
      <w:r>
        <w:rPr>
          <w:rFonts w:hint="eastAsia" w:cs="Calibri"/>
        </w:rPr>
        <w:t>10m</w:t>
      </w:r>
      <w:r>
        <w:rPr>
          <w:rFonts w:hint="eastAsia"/>
        </w:rPr>
        <w:t>龄前以放牧为主，饲喂少量精饲料补充料。骨骼体况评价达到架子牛标准。</w:t>
      </w:r>
    </w:p>
    <w:p w14:paraId="4B6907C4">
      <w:pPr>
        <w:pStyle w:val="96"/>
        <w:spacing w:before="156" w:after="156"/>
      </w:pPr>
      <w:r>
        <w:rPr>
          <w:rFonts w:hint="eastAsia"/>
        </w:rPr>
        <w:t>育成育肥期</w:t>
      </w:r>
    </w:p>
    <w:p w14:paraId="66C59D14">
      <w:pPr>
        <w:pStyle w:val="58"/>
        <w:ind w:firstLine="420"/>
        <w:rPr>
          <w:rFonts w:ascii="Calibri" w:hAnsi="Calibri"/>
          <w:kern w:val="2"/>
        </w:rPr>
      </w:pPr>
      <w:r>
        <w:rPr>
          <w:shd w:val="clear" w:color="auto" w:fill="FFFFFF"/>
        </w:rPr>
        <w:t>10</w:t>
      </w:r>
      <w:r>
        <w:rPr>
          <w:rFonts w:hint="eastAsia"/>
          <w:shd w:val="clear" w:color="auto" w:fill="FFFFFF"/>
        </w:rPr>
        <w:t>m</w:t>
      </w:r>
      <w:r>
        <w:rPr>
          <w:shd w:val="clear" w:color="auto" w:fill="FFFFFF"/>
        </w:rPr>
        <w:t>龄体重达到250</w:t>
      </w:r>
      <w:r>
        <w:rPr>
          <w:rFonts w:hint="eastAsia"/>
          <w:shd w:val="clear" w:color="auto" w:fill="FFFFFF"/>
        </w:rPr>
        <w:t>kg</w:t>
      </w:r>
      <w:r>
        <w:rPr>
          <w:shd w:val="clear" w:color="auto" w:fill="FFFFFF"/>
        </w:rPr>
        <w:t>～300</w:t>
      </w:r>
      <w:r>
        <w:rPr>
          <w:rFonts w:hint="eastAsia"/>
          <w:shd w:val="clear" w:color="auto" w:fill="FFFFFF"/>
        </w:rPr>
        <w:t>kg</w:t>
      </w:r>
      <w:r>
        <w:rPr>
          <w:shd w:val="clear" w:color="auto" w:fill="FFFFFF"/>
        </w:rPr>
        <w:t>，开始进行集中育肥。采用散栏舍饲方式饲养，以优质玉米青贮、</w:t>
      </w:r>
      <w:r>
        <w:rPr>
          <w:rFonts w:hint="eastAsia" w:hAnsi="宋体"/>
          <w:shd w:val="clear" w:color="auto" w:fill="FFFFFF"/>
        </w:rPr>
        <w:t>麸皮、啤酒糟</w:t>
      </w:r>
      <w:r>
        <w:rPr>
          <w:shd w:val="clear" w:color="auto" w:fill="FFFFFF"/>
        </w:rPr>
        <w:t>和专用育肥精料为主，</w:t>
      </w:r>
      <w:r>
        <w:rPr>
          <w:rFonts w:hint="eastAsia" w:hAnsi="宋体"/>
          <w:shd w:val="clear" w:color="auto" w:fill="FFFFFF"/>
        </w:rPr>
        <w:t>育成</w:t>
      </w:r>
      <w:r>
        <w:rPr>
          <w:shd w:val="clear" w:color="auto" w:fill="FFFFFF"/>
        </w:rPr>
        <w:t>期间保证营养供给，</w:t>
      </w:r>
      <w:r>
        <w:rPr>
          <w:rFonts w:hint="eastAsia" w:hAnsi="宋体"/>
        </w:rPr>
        <w:t>确保日增重</w:t>
      </w:r>
      <w:r>
        <w:rPr>
          <w:rFonts w:hint="eastAsia" w:cs="Calibri"/>
        </w:rPr>
        <w:t>1kg</w:t>
      </w:r>
      <w:r>
        <w:rPr>
          <w:rFonts w:hint="eastAsia" w:hAnsi="宋体"/>
        </w:rPr>
        <w:t>以上。育肥期间，应为牛只创造安静的环境。</w:t>
      </w:r>
    </w:p>
    <w:p w14:paraId="680F962A">
      <w:pPr>
        <w:pStyle w:val="58"/>
        <w:ind w:firstLine="420"/>
        <w:rPr>
          <w:rFonts w:ascii="黑体" w:eastAsia="黑体"/>
        </w:rPr>
      </w:pPr>
      <w:r>
        <w:rPr>
          <w:shd w:val="clear" w:color="auto" w:fill="FFFFFF"/>
        </w:rPr>
        <w:t>育肥</w:t>
      </w:r>
      <w:r>
        <w:rPr>
          <w:rFonts w:hint="eastAsia" w:hAnsi="宋体"/>
          <w:shd w:val="clear" w:color="auto" w:fill="FFFFFF"/>
        </w:rPr>
        <w:t>后</w:t>
      </w:r>
      <w:r>
        <w:rPr>
          <w:shd w:val="clear" w:color="auto" w:fill="FFFFFF"/>
        </w:rPr>
        <w:t>期间增加日粮中精饲料的比例</w:t>
      </w:r>
      <w:r>
        <w:rPr>
          <w:rFonts w:hint="eastAsia" w:hAnsi="宋体"/>
          <w:shd w:val="clear" w:color="auto" w:fill="FFFFFF"/>
        </w:rPr>
        <w:t>，</w:t>
      </w:r>
      <w:r>
        <w:rPr>
          <w:rFonts w:hint="eastAsia" w:hAnsi="宋体"/>
        </w:rPr>
        <w:t>控制活动量，促使脂肪沉积到肌纤维形成雪花纹理。</w:t>
      </w:r>
    </w:p>
    <w:p w14:paraId="733E8729">
      <w:pPr>
        <w:pStyle w:val="96"/>
        <w:spacing w:before="156" w:after="156"/>
      </w:pPr>
      <w:r>
        <w:rPr>
          <w:rFonts w:hint="eastAsia"/>
        </w:rPr>
        <w:t>出栏时间</w:t>
      </w:r>
    </w:p>
    <w:p w14:paraId="212E2410">
      <w:pPr>
        <w:pStyle w:val="58"/>
        <w:ind w:firstLine="420"/>
        <w:rPr>
          <w:rFonts w:ascii="Calibri" w:hAnsi="Calibri"/>
          <w:kern w:val="2"/>
        </w:rPr>
      </w:pPr>
      <w:r>
        <w:rPr>
          <w:rFonts w:hint="eastAsia" w:cs="Calibri"/>
        </w:rPr>
        <w:t>32m</w:t>
      </w:r>
      <w:r>
        <w:rPr>
          <w:rFonts w:hint="eastAsia"/>
        </w:rPr>
        <w:t>龄～</w:t>
      </w:r>
      <w:r>
        <w:rPr>
          <w:rFonts w:hint="eastAsia" w:cs="Calibri"/>
        </w:rPr>
        <w:t>40m</w:t>
      </w:r>
      <w:r>
        <w:rPr>
          <w:rFonts w:hint="eastAsia"/>
        </w:rPr>
        <w:t>龄，体重</w:t>
      </w:r>
      <w:r>
        <w:rPr>
          <w:rFonts w:hint="eastAsia" w:cs="Calibri"/>
        </w:rPr>
        <w:t>800kg</w:t>
      </w:r>
      <w:r>
        <w:rPr>
          <w:rFonts w:hint="eastAsia"/>
        </w:rPr>
        <w:t>～</w:t>
      </w:r>
      <w:r>
        <w:rPr>
          <w:rFonts w:hint="eastAsia" w:cs="Calibri"/>
        </w:rPr>
        <w:t>1100kg</w:t>
      </w:r>
      <w:r>
        <w:rPr>
          <w:rFonts w:hint="eastAsia"/>
        </w:rPr>
        <w:t>，牛体脂沉积均匀，雪花纹理明显。</w:t>
      </w:r>
    </w:p>
    <w:p w14:paraId="5D835007">
      <w:pPr>
        <w:pStyle w:val="67"/>
        <w:spacing w:before="156" w:after="156"/>
      </w:pPr>
      <w:r>
        <w:rPr>
          <w:rFonts w:hint="eastAsia"/>
        </w:rPr>
        <w:t>卫生防疫</w:t>
      </w:r>
    </w:p>
    <w:p w14:paraId="12135ADF">
      <w:pPr>
        <w:pStyle w:val="58"/>
        <w:ind w:firstLine="420"/>
        <w:rPr>
          <w:rFonts w:ascii="Calibri" w:hAnsi="Calibri"/>
          <w:kern w:val="2"/>
        </w:rPr>
      </w:pPr>
      <w:r>
        <w:rPr>
          <w:rFonts w:hint="eastAsia"/>
        </w:rPr>
        <w:t>牛场防疫、引种隔离、消毒及无害化处理应符合</w:t>
      </w:r>
      <w:r>
        <w:rPr>
          <w:rFonts w:hint="eastAsia" w:cs="Calibri"/>
        </w:rPr>
        <w:t>GB/T 39915</w:t>
      </w:r>
      <w:r>
        <w:rPr>
          <w:rFonts w:hint="eastAsia"/>
        </w:rPr>
        <w:t>的规定。</w:t>
      </w:r>
    </w:p>
    <w:p w14:paraId="4F0C6168">
      <w:pPr>
        <w:pStyle w:val="58"/>
        <w:ind w:firstLine="420"/>
      </w:pPr>
      <w:r>
        <w:rPr>
          <w:rFonts w:hint="eastAsia"/>
        </w:rPr>
        <w:t>动物粪便按照</w:t>
      </w:r>
      <w:r>
        <w:rPr>
          <w:rFonts w:hint="eastAsia" w:cs="Calibri"/>
        </w:rPr>
        <w:t>GB/T 36195</w:t>
      </w:r>
      <w:r>
        <w:rPr>
          <w:rFonts w:hint="eastAsia"/>
        </w:rPr>
        <w:t>有关规定处理。</w:t>
      </w:r>
    </w:p>
    <w:p w14:paraId="5721AD92">
      <w:pPr>
        <w:pStyle w:val="107"/>
        <w:spacing w:before="156" w:after="156"/>
      </w:pPr>
      <w:bookmarkStart w:id="66" w:name="_Toc185931262"/>
      <w:r>
        <w:rPr>
          <w:rFonts w:hint="eastAsia"/>
        </w:rPr>
        <w:t>生产记录</w:t>
      </w:r>
      <w:bookmarkEnd w:id="66"/>
    </w:p>
    <w:p w14:paraId="1BA536B5">
      <w:pPr>
        <w:pStyle w:val="58"/>
        <w:ind w:firstLine="420"/>
        <w:rPr>
          <w:rFonts w:ascii="Calibri" w:hAnsi="Calibri"/>
          <w:kern w:val="2"/>
        </w:rPr>
      </w:pPr>
      <w:r>
        <w:rPr>
          <w:rFonts w:hint="eastAsia"/>
        </w:rPr>
        <w:t>根据法规要求建立养殖档案，品种谱系、动物引进、投入品采购使用、免疫程序、诊疗消毒、病死无害化、出栏销售等如实记录，并妥善保存相关记录。</w:t>
      </w:r>
    </w:p>
    <w:p w14:paraId="4F9214E6">
      <w:pPr>
        <w:pStyle w:val="106"/>
        <w:spacing w:before="312" w:after="312"/>
      </w:pPr>
      <w:bookmarkStart w:id="67" w:name="_Toc185931263"/>
      <w:bookmarkStart w:id="68" w:name="_Toc185931279"/>
      <w:r>
        <w:rPr>
          <w:rFonts w:hint="eastAsia"/>
        </w:rPr>
        <w:t>屠宰加工</w:t>
      </w:r>
      <w:bookmarkEnd w:id="67"/>
      <w:bookmarkEnd w:id="68"/>
    </w:p>
    <w:p w14:paraId="1E554DA5">
      <w:pPr>
        <w:pStyle w:val="107"/>
        <w:spacing w:before="156" w:after="156"/>
      </w:pPr>
      <w:bookmarkStart w:id="69" w:name="_Toc185931264"/>
      <w:r>
        <w:rPr>
          <w:rFonts w:hint="eastAsia"/>
        </w:rPr>
        <w:t>屠宰</w:t>
      </w:r>
      <w:bookmarkEnd w:id="69"/>
    </w:p>
    <w:p w14:paraId="0E956F9B">
      <w:pPr>
        <w:pStyle w:val="58"/>
        <w:ind w:firstLine="420"/>
        <w:rPr>
          <w:rFonts w:ascii="Calibri" w:hAnsi="Calibri"/>
          <w:kern w:val="2"/>
        </w:rPr>
      </w:pPr>
      <w:r>
        <w:rPr>
          <w:rFonts w:hint="eastAsia"/>
        </w:rPr>
        <w:t>屠宰场建设符合产业规划和动物防疫条件等法定要求。</w:t>
      </w:r>
    </w:p>
    <w:p w14:paraId="168F8F23">
      <w:pPr>
        <w:pStyle w:val="58"/>
        <w:ind w:firstLine="420"/>
      </w:pPr>
      <w:r>
        <w:rPr>
          <w:rFonts w:hint="eastAsia"/>
        </w:rPr>
        <w:t>根据牛屠宰检疫规程进行屠宰前检疫。</w:t>
      </w:r>
    </w:p>
    <w:p w14:paraId="410B4502">
      <w:pPr>
        <w:pStyle w:val="58"/>
        <w:ind w:firstLine="420"/>
      </w:pPr>
      <w:r>
        <w:rPr>
          <w:rFonts w:hint="eastAsia"/>
        </w:rPr>
        <w:t>肉牛在进入屠宰间前用近于体温的漂白粉消毒净水淋浴。</w:t>
      </w:r>
    </w:p>
    <w:p w14:paraId="1C5CA271">
      <w:pPr>
        <w:pStyle w:val="58"/>
        <w:ind w:firstLine="420"/>
      </w:pPr>
      <w:r>
        <w:rPr>
          <w:rFonts w:hint="eastAsia"/>
        </w:rPr>
        <w:t>屠宰方式符合</w:t>
      </w:r>
      <w:r>
        <w:rPr>
          <w:rFonts w:hint="eastAsia" w:cs="Calibri"/>
        </w:rPr>
        <w:t>GB/T 19477</w:t>
      </w:r>
      <w:r>
        <w:rPr>
          <w:rFonts w:hint="eastAsia"/>
        </w:rPr>
        <w:t>的要求，采取瞬间切断牛只中枢神经的方式，放血时间</w:t>
      </w:r>
      <w:r>
        <w:rPr>
          <w:rFonts w:hint="eastAsia" w:cs="Calibri"/>
        </w:rPr>
        <w:t>8s</w:t>
      </w:r>
      <w:r>
        <w:rPr>
          <w:rFonts w:hint="eastAsia"/>
        </w:rPr>
        <w:t>～</w:t>
      </w:r>
      <w:r>
        <w:rPr>
          <w:rFonts w:hint="eastAsia" w:cs="Calibri"/>
        </w:rPr>
        <w:t>12s</w:t>
      </w:r>
      <w:r>
        <w:rPr>
          <w:rFonts w:hint="eastAsia"/>
        </w:rPr>
        <w:t>。</w:t>
      </w:r>
    </w:p>
    <w:p w14:paraId="7E293469">
      <w:pPr>
        <w:pStyle w:val="58"/>
        <w:ind w:firstLine="420"/>
      </w:pPr>
      <w:r>
        <w:rPr>
          <w:rFonts w:hint="eastAsia"/>
        </w:rPr>
        <w:t>屠宰牛肉等产品品质检验执行</w:t>
      </w:r>
      <w:r>
        <w:rPr>
          <w:rFonts w:hint="eastAsia" w:cs="Calibri"/>
        </w:rPr>
        <w:t>GB 18393</w:t>
      </w:r>
      <w:r>
        <w:rPr>
          <w:rFonts w:hint="eastAsia"/>
        </w:rPr>
        <w:t>规程。</w:t>
      </w:r>
    </w:p>
    <w:p w14:paraId="64A8D935">
      <w:pPr>
        <w:pStyle w:val="107"/>
        <w:spacing w:before="156" w:after="156"/>
      </w:pPr>
      <w:bookmarkStart w:id="70" w:name="_Toc185931265"/>
      <w:r>
        <w:rPr>
          <w:rFonts w:hint="eastAsia"/>
        </w:rPr>
        <w:t>分割</w:t>
      </w:r>
      <w:bookmarkEnd w:id="70"/>
    </w:p>
    <w:p w14:paraId="7ADF82AB">
      <w:pPr>
        <w:pStyle w:val="58"/>
        <w:ind w:firstLine="420"/>
        <w:rPr>
          <w:rFonts w:ascii="Calibri" w:hAnsi="Calibri"/>
          <w:kern w:val="2"/>
        </w:rPr>
      </w:pPr>
      <w:r>
        <w:rPr>
          <w:rFonts w:hint="eastAsia"/>
        </w:rPr>
        <w:t>分割方法符合</w:t>
      </w:r>
      <w:r>
        <w:rPr>
          <w:rFonts w:hint="eastAsia" w:cs="Calibri"/>
        </w:rPr>
        <w:t>GB/T 27643</w:t>
      </w:r>
      <w:r>
        <w:rPr>
          <w:rFonts w:hint="eastAsia"/>
        </w:rPr>
        <w:t>的要求，尽量保持牛柳、西冷、上脑、肉眼、</w:t>
      </w:r>
      <w:r>
        <w:rPr>
          <w:rFonts w:hint="eastAsia" w:cs="Calibri"/>
        </w:rPr>
        <w:t>S</w:t>
      </w:r>
      <w:r>
        <w:rPr>
          <w:rFonts w:hint="eastAsia"/>
        </w:rPr>
        <w:t>腹肉等部位完整。</w:t>
      </w:r>
    </w:p>
    <w:p w14:paraId="37F338EC">
      <w:pPr>
        <w:pStyle w:val="107"/>
        <w:spacing w:before="156" w:after="156"/>
      </w:pPr>
      <w:bookmarkStart w:id="71" w:name="_Toc185931266"/>
      <w:r>
        <w:rPr>
          <w:rFonts w:hint="eastAsia"/>
        </w:rPr>
        <w:t>排酸</w:t>
      </w:r>
      <w:bookmarkEnd w:id="71"/>
    </w:p>
    <w:p w14:paraId="0A6ADCF0">
      <w:pPr>
        <w:pStyle w:val="58"/>
        <w:ind w:firstLine="420"/>
        <w:rPr>
          <w:rFonts w:ascii="Calibri" w:hAnsi="Calibri"/>
          <w:kern w:val="2"/>
        </w:rPr>
      </w:pPr>
      <w:r>
        <w:rPr>
          <w:rFonts w:hint="eastAsia"/>
        </w:rPr>
        <w:t>排酸温度为</w:t>
      </w:r>
      <w:r>
        <w:rPr>
          <w:rFonts w:hint="eastAsia" w:cs="Calibri"/>
        </w:rPr>
        <w:t>-2</w:t>
      </w:r>
      <w:r>
        <w:rPr>
          <w:rFonts w:hint="eastAsia"/>
        </w:rPr>
        <w:t>℃～</w:t>
      </w:r>
      <w:r>
        <w:rPr>
          <w:rFonts w:hint="eastAsia" w:cs="Calibri"/>
        </w:rPr>
        <w:t>2</w:t>
      </w:r>
      <w:r>
        <w:rPr>
          <w:rFonts w:hint="eastAsia"/>
        </w:rPr>
        <w:t>℃，排酸时间为</w:t>
      </w:r>
      <w:r>
        <w:rPr>
          <w:rFonts w:hint="eastAsia" w:cs="Calibri"/>
        </w:rPr>
        <w:t>168h</w:t>
      </w:r>
      <w:r>
        <w:rPr>
          <w:rFonts w:hint="eastAsia"/>
        </w:rPr>
        <w:t>。</w:t>
      </w:r>
    </w:p>
    <w:p w14:paraId="7F62691B">
      <w:pPr>
        <w:pStyle w:val="107"/>
        <w:spacing w:before="156" w:after="156"/>
      </w:pPr>
      <w:bookmarkStart w:id="72" w:name="_Toc185931267"/>
      <w:r>
        <w:rPr>
          <w:rFonts w:hint="eastAsia"/>
        </w:rPr>
        <w:t>冷冻</w:t>
      </w:r>
      <w:bookmarkEnd w:id="72"/>
    </w:p>
    <w:p w14:paraId="1634B5A0">
      <w:pPr>
        <w:pStyle w:val="58"/>
        <w:ind w:firstLine="420"/>
        <w:rPr>
          <w:rFonts w:ascii="黑体" w:eastAsia="黑体"/>
        </w:rPr>
      </w:pPr>
      <w:r>
        <w:rPr>
          <w:rFonts w:hint="eastAsia"/>
        </w:rPr>
        <w:t>速冷库温度</w:t>
      </w:r>
      <w:r>
        <w:rPr>
          <w:rFonts w:hint="eastAsia" w:cs="Calibri"/>
        </w:rPr>
        <w:t>-18</w:t>
      </w:r>
      <w:r>
        <w:rPr>
          <w:rFonts w:hint="eastAsia"/>
        </w:rPr>
        <w:t>℃以下，确保产品中心温度降至</w:t>
      </w:r>
      <w:r>
        <w:rPr>
          <w:rFonts w:hint="eastAsia" w:cs="Calibri"/>
        </w:rPr>
        <w:t>-15</w:t>
      </w:r>
      <w:r>
        <w:rPr>
          <w:rFonts w:hint="eastAsia"/>
        </w:rPr>
        <w:t>℃。</w:t>
      </w:r>
    </w:p>
    <w:p w14:paraId="0D00DC33">
      <w:pPr>
        <w:pStyle w:val="106"/>
        <w:spacing w:before="312" w:after="312"/>
      </w:pPr>
      <w:bookmarkStart w:id="73" w:name="_Toc185931268"/>
      <w:bookmarkStart w:id="74" w:name="_Toc185931280"/>
      <w:r>
        <w:rPr>
          <w:rFonts w:hint="eastAsia"/>
        </w:rPr>
        <w:t>产品分级</w:t>
      </w:r>
      <w:bookmarkEnd w:id="73"/>
      <w:bookmarkEnd w:id="74"/>
    </w:p>
    <w:p w14:paraId="5AEC47C9">
      <w:pPr>
        <w:pStyle w:val="58"/>
        <w:ind w:firstLine="420"/>
      </w:pPr>
      <w:r>
        <w:rPr>
          <w:rFonts w:hint="eastAsia"/>
        </w:rPr>
        <w:t>牛肉质量分级根据</w:t>
      </w:r>
      <w:r>
        <w:rPr>
          <w:rFonts w:hint="eastAsia" w:cs="Calibri"/>
        </w:rPr>
        <w:t>GB/T 29392</w:t>
      </w:r>
      <w:r>
        <w:rPr>
          <w:rFonts w:hint="eastAsia"/>
        </w:rPr>
        <w:t>执行，水分含量执行</w:t>
      </w:r>
      <w:r>
        <w:rPr>
          <w:rFonts w:hint="eastAsia" w:cs="Calibri"/>
        </w:rPr>
        <w:t>GB 18394</w:t>
      </w:r>
      <w:r>
        <w:rPr>
          <w:rFonts w:hint="eastAsia"/>
        </w:rPr>
        <w:t>规定。</w:t>
      </w:r>
    </w:p>
    <w:p w14:paraId="65F0BF58">
      <w:pPr>
        <w:pStyle w:val="58"/>
        <w:ind w:firstLine="420"/>
      </w:pPr>
      <w:r>
        <w:rPr>
          <w:rFonts w:hint="eastAsia"/>
        </w:rPr>
        <w:t>同一饲养管理、同一生产单位、同时段屠宰的同一规格的产品为一批。检疫合格后加贴标识。</w:t>
      </w:r>
    </w:p>
    <w:p w14:paraId="1214D683">
      <w:pPr>
        <w:pStyle w:val="106"/>
        <w:spacing w:before="312" w:after="312"/>
      </w:pPr>
      <w:r>
        <w:rPr>
          <w:rFonts w:hint="eastAsia"/>
        </w:rPr>
        <w:t xml:space="preserve"> </w:t>
      </w:r>
      <w:bookmarkStart w:id="75" w:name="_Toc185931269"/>
      <w:bookmarkStart w:id="76" w:name="_Toc185931281"/>
      <w:r>
        <w:rPr>
          <w:rFonts w:hint="eastAsia"/>
        </w:rPr>
        <w:t>标签、包装、运输、贮存</w:t>
      </w:r>
      <w:bookmarkEnd w:id="75"/>
      <w:bookmarkEnd w:id="76"/>
    </w:p>
    <w:p w14:paraId="5B1C5BE8">
      <w:pPr>
        <w:pStyle w:val="107"/>
        <w:spacing w:before="156" w:after="156"/>
      </w:pPr>
      <w:bookmarkStart w:id="77" w:name="_Toc185931270"/>
      <w:r>
        <w:rPr>
          <w:rFonts w:hint="eastAsia"/>
        </w:rPr>
        <w:t>标签</w:t>
      </w:r>
      <w:r>
        <w:rPr>
          <w:rFonts w:hint="eastAsia" w:hAnsi="黑体"/>
        </w:rPr>
        <w:t>、包装</w:t>
      </w:r>
      <w:bookmarkEnd w:id="77"/>
    </w:p>
    <w:p w14:paraId="7FCE02BA">
      <w:pPr>
        <w:pStyle w:val="58"/>
        <w:ind w:firstLine="420"/>
        <w:rPr>
          <w:rFonts w:ascii="Calibri" w:hAnsi="Calibri"/>
          <w:kern w:val="2"/>
        </w:rPr>
      </w:pPr>
      <w:r>
        <w:rPr>
          <w:rFonts w:hint="eastAsia"/>
        </w:rPr>
        <w:t>产品包装与标识符合</w:t>
      </w:r>
      <w:r>
        <w:rPr>
          <w:rFonts w:hint="eastAsia" w:cs="Calibri"/>
        </w:rPr>
        <w:t>NY/T 3383</w:t>
      </w:r>
      <w:r>
        <w:rPr>
          <w:rFonts w:hint="eastAsia"/>
        </w:rPr>
        <w:t>要求。产品定量包装的符合</w:t>
      </w:r>
      <w:r>
        <w:t>JJF</w:t>
      </w:r>
      <w:r>
        <w:rPr>
          <w:rFonts w:hint="eastAsia"/>
        </w:rPr>
        <w:t xml:space="preserve"> </w:t>
      </w:r>
      <w:r>
        <w:t>1070</w:t>
      </w:r>
      <w:r>
        <w:rPr>
          <w:rFonts w:hint="eastAsia"/>
        </w:rPr>
        <w:t xml:space="preserve">要求。 </w:t>
      </w:r>
    </w:p>
    <w:p w14:paraId="37099FB9">
      <w:pPr>
        <w:pStyle w:val="58"/>
        <w:ind w:firstLine="420"/>
      </w:pPr>
      <w:r>
        <w:rPr>
          <w:rFonts w:hint="eastAsia"/>
        </w:rPr>
        <w:t>产品或包装上应标注地理标志保护产品的名称“平度牛肉”、生产者、本标准号。</w:t>
      </w:r>
    </w:p>
    <w:p w14:paraId="3D26C12D">
      <w:pPr>
        <w:pStyle w:val="58"/>
        <w:ind w:firstLine="420"/>
        <w:rPr>
          <w:rFonts w:ascii="黑体" w:eastAsia="黑体"/>
        </w:rPr>
      </w:pPr>
      <w:r>
        <w:rPr>
          <w:rFonts w:hint="eastAsia"/>
        </w:rPr>
        <w:t>地理标志产品专用标志的内容应符合国家质量监督检验检疫总局公告</w:t>
      </w:r>
      <w:r>
        <w:rPr>
          <w:rFonts w:hint="eastAsia" w:cs="Calibri"/>
        </w:rPr>
        <w:t>2006</w:t>
      </w:r>
      <w:r>
        <w:rPr>
          <w:rFonts w:hint="eastAsia"/>
        </w:rPr>
        <w:t>年第</w:t>
      </w:r>
      <w:r>
        <w:rPr>
          <w:rFonts w:hint="eastAsia" w:cs="Calibri"/>
        </w:rPr>
        <w:t>109</w:t>
      </w:r>
      <w:r>
        <w:rPr>
          <w:rFonts w:hint="eastAsia"/>
        </w:rPr>
        <w:t>号文件的规定，使用应符合《地理标志产品保护规定》。</w:t>
      </w:r>
    </w:p>
    <w:p w14:paraId="6255218C">
      <w:pPr>
        <w:pStyle w:val="107"/>
        <w:spacing w:before="156" w:after="156"/>
      </w:pPr>
      <w:bookmarkStart w:id="78" w:name="_Toc185931271"/>
      <w:r>
        <w:rPr>
          <w:rFonts w:hint="eastAsia"/>
        </w:rPr>
        <w:t>运输、贮存</w:t>
      </w:r>
      <w:bookmarkEnd w:id="78"/>
    </w:p>
    <w:p w14:paraId="230E2521">
      <w:pPr>
        <w:pStyle w:val="58"/>
        <w:ind w:firstLine="420"/>
        <w:rPr>
          <w:rFonts w:ascii="Calibri" w:hAnsi="Calibri"/>
          <w:kern w:val="2"/>
        </w:rPr>
      </w:pPr>
      <w:r>
        <w:rPr>
          <w:rFonts w:hint="eastAsia"/>
        </w:rPr>
        <w:t>鲜牛肉在</w:t>
      </w:r>
      <w:r>
        <w:rPr>
          <w:rFonts w:hint="eastAsia" w:cs="Calibri"/>
        </w:rPr>
        <w:t>0</w:t>
      </w:r>
      <w:r>
        <w:rPr>
          <w:rFonts w:hint="eastAsia"/>
        </w:rPr>
        <w:t>～</w:t>
      </w:r>
      <w:r>
        <w:rPr>
          <w:rFonts w:hint="eastAsia" w:cs="Calibri"/>
        </w:rPr>
        <w:t>4</w:t>
      </w:r>
      <w:r>
        <w:rPr>
          <w:rFonts w:hint="eastAsia"/>
        </w:rPr>
        <w:t>℃贮存，冷冻牛肉在</w:t>
      </w:r>
      <w:r>
        <w:rPr>
          <w:rFonts w:hint="eastAsia" w:cs="Calibri"/>
        </w:rPr>
        <w:t>-18</w:t>
      </w:r>
      <w:r>
        <w:rPr>
          <w:rFonts w:hint="eastAsia"/>
        </w:rPr>
        <w:t>℃库温冷冻保存，严格隔绝有毒、有害或挥发性物质，防止污染。</w:t>
      </w:r>
    </w:p>
    <w:p w14:paraId="39C97E1F">
      <w:pPr>
        <w:pStyle w:val="58"/>
        <w:ind w:firstLine="420"/>
      </w:pPr>
      <w:r>
        <w:rPr>
          <w:rFonts w:hint="eastAsia"/>
        </w:rPr>
        <w:t>牛肉冷链控温运输，确保满足产品温度要求。</w:t>
      </w:r>
    </w:p>
    <w:p w14:paraId="3190FE01">
      <w:pPr>
        <w:pStyle w:val="58"/>
        <w:ind w:firstLine="420"/>
      </w:pPr>
    </w:p>
    <w:p w14:paraId="11CA576F">
      <w:pPr>
        <w:pStyle w:val="58"/>
        <w:ind w:firstLine="420"/>
        <w:sectPr>
          <w:pgSz w:w="11906" w:h="16838"/>
          <w:pgMar w:top="1928" w:right="1134" w:bottom="1134" w:left="1134" w:header="1418" w:footer="1134" w:gutter="284"/>
          <w:pgNumType w:start="1"/>
          <w:cols w:space="425" w:num="1"/>
          <w:formProt w:val="0"/>
          <w:docGrid w:type="lines" w:linePitch="312" w:charSpace="0"/>
        </w:sectPr>
      </w:pPr>
    </w:p>
    <w:bookmarkEnd w:id="25"/>
    <w:p w14:paraId="071F4C81">
      <w:pPr>
        <w:pStyle w:val="200"/>
        <w:rPr>
          <w:vanish w:val="0"/>
        </w:rPr>
      </w:pPr>
      <w:bookmarkStart w:id="79" w:name="BookMark5"/>
    </w:p>
    <w:p w14:paraId="0B47BF2D">
      <w:pPr>
        <w:pStyle w:val="201"/>
        <w:rPr>
          <w:vanish w:val="0"/>
        </w:rPr>
      </w:pPr>
    </w:p>
    <w:p w14:paraId="2E104386">
      <w:pPr>
        <w:pStyle w:val="78"/>
        <w:spacing w:after="156"/>
      </w:pPr>
      <w:r>
        <w:br w:type="textWrapping"/>
      </w:r>
      <w:bookmarkStart w:id="80" w:name="_Toc185931282"/>
      <w:bookmarkStart w:id="81" w:name="_Toc185931272"/>
      <w:r>
        <w:rPr>
          <w:rFonts w:hint="eastAsia"/>
        </w:rPr>
        <w:t>（规范性）</w:t>
      </w:r>
      <w:r>
        <w:br w:type="textWrapping"/>
      </w:r>
      <w:r>
        <w:rPr>
          <w:rFonts w:hint="eastAsia"/>
        </w:rPr>
        <w:t>平度牛肉地理标志保护范围图</w:t>
      </w:r>
      <w:bookmarkEnd w:id="80"/>
      <w:bookmarkEnd w:id="81"/>
    </w:p>
    <w:p w14:paraId="4AF634BD">
      <w:pPr>
        <w:pStyle w:val="58"/>
        <w:ind w:firstLine="420"/>
        <w:rPr>
          <w:szCs w:val="21"/>
        </w:rPr>
      </w:pPr>
      <w:r>
        <w:rPr>
          <w:rFonts w:hint="eastAsia"/>
        </w:rPr>
        <w:t>“平度牛肉”地理标志产品保护范围是山东省平度市云山镇、南村镇（原郭庄镇、南村镇、兰底镇）、蓼兰镇（原蓼兰镇、万家镇）、崔家集镇、明村镇、田庄镇（原田庄镇、张舍镇）、店子镇和李园街道（原门村镇）、同和街道（原白埠镇）、白沙河街道（原麻兰镇、张戈庄镇）等镇街现辖行政区域，位于山东半岛腹地，胶东半岛西缘，东经119°31′30″～120°19′13″、北纬36°28′15″～37°02′46″之间。</w:t>
      </w:r>
    </w:p>
    <w:p w14:paraId="75536A73">
      <w:pPr>
        <w:pStyle w:val="58"/>
        <w:ind w:firstLine="420"/>
      </w:pPr>
      <w:r>
        <w:drawing>
          <wp:anchor distT="0" distB="0" distL="114300" distR="114300" simplePos="0" relativeHeight="251661312" behindDoc="0" locked="0" layoutInCell="1" allowOverlap="1">
            <wp:simplePos x="0" y="0"/>
            <wp:positionH relativeFrom="column">
              <wp:posOffset>0</wp:posOffset>
            </wp:positionH>
            <wp:positionV relativeFrom="paragraph">
              <wp:posOffset>194310</wp:posOffset>
            </wp:positionV>
            <wp:extent cx="4943475" cy="4448175"/>
            <wp:effectExtent l="0" t="0" r="9525" b="9525"/>
            <wp:wrapTopAndBottom/>
            <wp:docPr id="1" name="图片 1" descr="c31150fcc5cfb8c82b2b66e7eccc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31150fcc5cfb8c82b2b66e7eccc230"/>
                    <pic:cNvPicPr>
                      <a:picLocks noChangeAspect="1"/>
                    </pic:cNvPicPr>
                  </pic:nvPicPr>
                  <pic:blipFill>
                    <a:blip r:embed="rId16"/>
                    <a:stretch>
                      <a:fillRect/>
                    </a:stretch>
                  </pic:blipFill>
                  <pic:spPr>
                    <a:xfrm>
                      <a:off x="0" y="0"/>
                      <a:ext cx="4943475" cy="4448175"/>
                    </a:xfrm>
                    <a:prstGeom prst="rect">
                      <a:avLst/>
                    </a:prstGeom>
                  </pic:spPr>
                </pic:pic>
              </a:graphicData>
            </a:graphic>
          </wp:anchor>
        </w:drawing>
      </w:r>
      <w:bookmarkEnd w:id="79"/>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1A751">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B835E">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6775E">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461C2">
    <w:pPr>
      <w:pStyle w:val="54"/>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5DEE6">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37F0A">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D40DE">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92A35">
    <w:pPr>
      <w:pStyle w:val="63"/>
    </w:pPr>
    <w:r>
      <w:fldChar w:fldCharType="begin"/>
    </w:r>
    <w:r>
      <w:instrText xml:space="preserve"> STYLEREF  标准文件_文件编号  \* MERGEFORMAT </w:instrText>
    </w:r>
    <w:r>
      <w:fldChar w:fldCharType="separate"/>
    </w:r>
    <w:r>
      <w:t>DB 3702/T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D7843">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3702/T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attachedTemplate r:id="rId1"/>
  <w:documentProtection w:edit="forms" w:enforcement="1" w:cryptProviderType="rsaAES" w:cryptAlgorithmClass="hash" w:cryptAlgorithmType="typeAny" w:cryptAlgorithmSid="14" w:cryptSpinCount="100000" w:hash="olt6Cm8VJIXxDcaVbcZKv1jj/vR8EScHQlVdMAsm+89n4+tO+8NKBTRAOJZIRwzDp6Agw78/7u6RPVYk6GYE1g==" w:salt="C0CkVmwQEwDtSvHww0FVT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jMTdkMmQ5YWQ3YzRmZTExMzRiMTg2Yjg3NzVkMjcifQ=="/>
  </w:docVars>
  <w:rsids>
    <w:rsidRoot w:val="00E47BC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1743"/>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6B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4826"/>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0E60"/>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069D7"/>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BC0"/>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735D97"/>
    <w:rsid w:val="33E22C72"/>
    <w:rsid w:val="49E46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Body Text Indent"/>
    <w:basedOn w:val="1"/>
    <w:link w:val="233"/>
    <w:semiHidden/>
    <w:unhideWhenUsed/>
    <w:qFormat/>
    <w:uiPriority w:val="99"/>
    <w:pPr>
      <w:spacing w:after="120"/>
      <w:ind w:left="420" w:leftChars="20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paragraph" w:styleId="27">
    <w:name w:val="Body Text First Indent 2"/>
    <w:basedOn w:val="14"/>
    <w:link w:val="234"/>
    <w:unhideWhenUsed/>
    <w:qFormat/>
    <w:uiPriority w:val="99"/>
    <w:pPr>
      <w:ind w:firstLine="420" w:firstLineChars="200"/>
    </w:p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6"/>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段"/>
    <w:basedOn w:val="1"/>
    <w:qFormat/>
    <w:uiPriority w:val="0"/>
    <w:pPr>
      <w:widowControl/>
      <w:autoSpaceDE w:val="0"/>
      <w:autoSpaceDN w:val="0"/>
      <w:adjustRightInd/>
      <w:spacing w:line="240" w:lineRule="auto"/>
      <w:ind w:firstLine="420" w:firstLineChars="200"/>
    </w:pPr>
    <w:rPr>
      <w:rFonts w:ascii="宋体" w:hAnsi="Times New Roman"/>
      <w:kern w:val="0"/>
    </w:rPr>
  </w:style>
  <w:style w:type="character" w:customStyle="1" w:styleId="233">
    <w:name w:val="正文文本缩进 字符"/>
    <w:basedOn w:val="30"/>
    <w:link w:val="14"/>
    <w:semiHidden/>
    <w:qFormat/>
    <w:uiPriority w:val="99"/>
    <w:rPr>
      <w:kern w:val="2"/>
      <w:sz w:val="21"/>
      <w:szCs w:val="21"/>
    </w:rPr>
  </w:style>
  <w:style w:type="character" w:customStyle="1" w:styleId="234">
    <w:name w:val="正文首行缩进 2 字符"/>
    <w:basedOn w:val="233"/>
    <w:link w:val="27"/>
    <w:qFormat/>
    <w:uiPriority w:val="99"/>
    <w:rPr>
      <w:kern w:val="2"/>
      <w:sz w:val="21"/>
      <w:szCs w:val="21"/>
    </w:rPr>
  </w:style>
  <w:style w:type="paragraph" w:customStyle="1" w:styleId="235">
    <w:name w:val="Table Text"/>
    <w:basedOn w:val="1"/>
    <w:semiHidden/>
    <w:qFormat/>
    <w:uiPriority w:val="0"/>
    <w:rPr>
      <w:rFonts w:ascii="宋体" w:hAnsi="宋体" w:cs="宋体"/>
      <w:sz w:val="32"/>
      <w:szCs w:val="32"/>
    </w:rPr>
  </w:style>
  <w:style w:type="paragraph" w:customStyle="1" w:styleId="236">
    <w:name w:val="章标题"/>
    <w:basedOn w:val="1"/>
    <w:next w:val="232"/>
    <w:qFormat/>
    <w:uiPriority w:val="0"/>
    <w:pPr>
      <w:widowControl/>
      <w:adjustRightInd/>
      <w:spacing w:beforeLines="100" w:afterLines="100" w:line="240" w:lineRule="auto"/>
      <w:outlineLvl w:val="1"/>
    </w:pPr>
    <w:rPr>
      <w:rFonts w:ascii="黑体" w:hAnsi="黑体" w:eastAsia="黑体" w:cs="宋体"/>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661DC3E8E64CC195DCCC076DED1991"/>
        <w:style w:val=""/>
        <w:category>
          <w:name w:val="常规"/>
          <w:gallery w:val="placeholder"/>
        </w:category>
        <w:types>
          <w:type w:val="bbPlcHdr"/>
        </w:types>
        <w:behaviors>
          <w:behavior w:val="content"/>
        </w:behaviors>
        <w:description w:val=""/>
        <w:guid w:val="{1E679659-73B5-4EE2-929D-8EAC6ADE5E2A}"/>
      </w:docPartPr>
      <w:docPartBody>
        <w:p w14:paraId="2E61B1D3">
          <w:pPr>
            <w:pStyle w:val="5"/>
          </w:pPr>
          <w:r>
            <w:rPr>
              <w:rStyle w:val="4"/>
              <w:rFonts w:hint="eastAsia"/>
            </w:rPr>
            <w:t>单击或点击此处输入文字。</w:t>
          </w:r>
        </w:p>
      </w:docPartBody>
    </w:docPart>
    <w:docPart>
      <w:docPartPr>
        <w:name w:val="BB0ECA9CC39A4CECB9E5EFD25B4AD135"/>
        <w:style w:val=""/>
        <w:category>
          <w:name w:val="常规"/>
          <w:gallery w:val="placeholder"/>
        </w:category>
        <w:types>
          <w:type w:val="bbPlcHdr"/>
        </w:types>
        <w:behaviors>
          <w:behavior w:val="content"/>
        </w:behaviors>
        <w:description w:val=""/>
        <w:guid w:val="{EC770BC1-FA07-4AF6-931A-318E44C4CDD8}"/>
      </w:docPartPr>
      <w:docPartBody>
        <w:p w14:paraId="01C7819A">
          <w:pPr>
            <w:pStyle w:val="6"/>
          </w:pPr>
          <w:r>
            <w:rPr>
              <w:rStyle w:val="4"/>
              <w:rFonts w:hint="eastAsia"/>
            </w:rPr>
            <w:t>选择一项。</w:t>
          </w:r>
        </w:p>
      </w:docPartBody>
    </w:docPart>
    <w:docPart>
      <w:docPartPr>
        <w:name w:val="A1B491CB0B3E4AFAB389269BF24F0F82"/>
        <w:style w:val=""/>
        <w:category>
          <w:name w:val="常规"/>
          <w:gallery w:val="placeholder"/>
        </w:category>
        <w:types>
          <w:type w:val="bbPlcHdr"/>
        </w:types>
        <w:behaviors>
          <w:behavior w:val="content"/>
        </w:behaviors>
        <w:description w:val=""/>
        <w:guid w:val="{6BD31309-9984-41D9-9B6B-2645B5FBE099}"/>
      </w:docPartPr>
      <w:docPartBody>
        <w:p w14:paraId="7E8BBA2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0AF"/>
    <w:rsid w:val="00912DDC"/>
    <w:rsid w:val="009510AF"/>
    <w:rsid w:val="00E47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D661DC3E8E64CC195DCCC076DED19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B0ECA9CC39A4CECB9E5EFD25B4AD1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1B491CB0B3E4AFAB389269BF24F0F8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2773</Words>
  <Characters>3235</Characters>
  <Lines>32</Lines>
  <Paragraphs>9</Paragraphs>
  <TotalTime>15</TotalTime>
  <ScaleCrop>false</ScaleCrop>
  <LinksUpToDate>false</LinksUpToDate>
  <CharactersWithSpaces>3405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2024-12-24T02:48:00Z</dcterms:created>
  <dc:creator>微软用户</dc:creator>
  <dc:description>&lt;config cover="true" show_menu="true" version="1.0.0" doctype="SDKXY"&gt;_x000d_
&lt;/config&gt;</dc:description>
  <cp:lastModifiedBy>selweaker.</cp:lastModifiedBy>
  <cp:lastPrinted>2020-08-30T10:00:00Z</cp:lastPrinted>
  <dcterms:modified xsi:type="dcterms:W3CDTF">2024-12-24T07:32:56Z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C3ECB67020974ED381981FB6EBE022C8_12</vt:lpwstr>
  </property>
</Properties>
</file>