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3702</w:t>
      </w:r>
      <w:r>
        <w:rPr>
          <w:lang w:val="fr-FR"/>
        </w:rPr>
        <w:t>/T</w:t>
      </w:r>
      <w:r>
        <w:fldChar w:fldCharType="end"/>
      </w:r>
      <w:bookmarkEnd w:id="5"/>
      <w:r>
        <w:rPr>
          <w:lang w:val="fr-FR"/>
        </w:rPr>
        <w:t xml:space="preserve"> </w:t>
      </w:r>
      <w:r>
        <w:rPr>
          <w:rFonts w:hint="eastAsia"/>
        </w:rPr>
        <w:t>25.2</w:t>
      </w:r>
      <w:r>
        <w:rPr>
          <w:rFonts w:hAnsi="黑体"/>
          <w:lang w:val="fr-FR"/>
        </w:rPr>
        <w:t>—</w:t>
      </w:r>
      <w:r>
        <w:rPr>
          <w:rFonts w:hint="eastAsia"/>
        </w:rPr>
        <w:t>2023</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地理标志产品 大村黑木耳</w:t>
      </w:r>
    </w:p>
    <w:p>
      <w:pPr>
        <w:pStyle w:val="197"/>
        <w:framePr w:h="6974" w:hRule="exact" w:wrap="around" w:x="1419" w:anchorLock="1"/>
      </w:pPr>
      <w:r>
        <w:t>第2部分：质量标准</w:t>
      </w:r>
      <w:r>
        <w:fldChar w:fldCharType="end"/>
      </w:r>
      <w:bookmarkEnd w:id="6"/>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b/>
          <w:color w:val="FF0000"/>
          <w:szCs w:val="28"/>
        </w:rPr>
      </w:pPr>
      <w:bookmarkStart w:id="7" w:name="ESTD_NAME"/>
      <w:r>
        <w:rPr>
          <w:rFonts w:eastAsia="黑体"/>
          <w:b/>
          <w:szCs w:val="28"/>
        </w:rPr>
        <w:fldChar w:fldCharType="begin">
          <w:ffData>
            <w:name w:val="ESTD_NAME"/>
            <w:enabled/>
            <w:calcOnExit w:val="0"/>
            <w:textInput>
              <w:default w:val="Product of geographical indication—Dacun auricularia auricular—Part 1: Technical specification for production"/>
            </w:textInput>
          </w:ffData>
        </w:fldChar>
      </w:r>
      <w:r>
        <w:rPr>
          <w:rFonts w:eastAsia="黑体"/>
          <w:b/>
          <w:szCs w:val="28"/>
        </w:rPr>
        <w:instrText xml:space="preserve"> FORMTEXT </w:instrText>
      </w:r>
      <w:r>
        <w:rPr>
          <w:rFonts w:eastAsia="黑体"/>
          <w:b/>
          <w:szCs w:val="28"/>
        </w:rPr>
        <w:fldChar w:fldCharType="separate"/>
      </w:r>
      <w:r>
        <w:rPr>
          <w:rFonts w:eastAsia="黑体"/>
          <w:b/>
          <w:szCs w:val="28"/>
        </w:rPr>
        <w:t xml:space="preserve">Product of geographical indication—Dacun auricularia auricular—Part </w:t>
      </w:r>
      <w:r>
        <w:rPr>
          <w:rFonts w:hint="eastAsia" w:eastAsia="黑体"/>
          <w:b/>
          <w:szCs w:val="28"/>
        </w:rPr>
        <w:t>2</w:t>
      </w:r>
      <w:r>
        <w:rPr>
          <w:rFonts w:eastAsia="黑体"/>
          <w:b/>
          <w:szCs w:val="28"/>
        </w:rPr>
        <w:t>: Quality standard</w:t>
      </w:r>
      <w:r>
        <w:rPr>
          <w:rFonts w:eastAsia="黑体"/>
          <w:b/>
          <w:szCs w:val="28"/>
        </w:rPr>
        <w:fldChar w:fldCharType="end"/>
      </w:r>
      <w:bookmarkEnd w:id="7"/>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93"/>
        <w:framePr w:wrap="around" w:y="14176"/>
      </w:pPr>
      <w:r>
        <w:rPr>
          <w:rFonts w:hint="eastAsia" w:ascii="黑体"/>
          <w:lang w:val="en-US" w:eastAsia="zh-CN"/>
        </w:rPr>
        <w:t>2023</w:t>
      </w:r>
      <w:r>
        <w:t xml:space="preserve"> </w:t>
      </w:r>
      <w:r>
        <w:rPr>
          <w:rFonts w:ascii="黑体"/>
        </w:rPr>
        <w:t>-</w:t>
      </w:r>
      <w:r>
        <w:t xml:space="preserve"> </w:t>
      </w:r>
      <w:r>
        <w:rPr>
          <w:rFonts w:hint="eastAsia" w:ascii="黑体"/>
          <w:lang w:val="en-US" w:eastAsia="zh-CN"/>
        </w:rPr>
        <w:t>12</w:t>
      </w:r>
      <w:r>
        <w:t xml:space="preserve"> </w:t>
      </w:r>
      <w:r>
        <w:rPr>
          <w:rFonts w:ascii="黑体"/>
        </w:rPr>
        <w:t>-</w:t>
      </w:r>
      <w:r>
        <w:t xml:space="preserve"> </w:t>
      </w:r>
      <w:r>
        <w:rPr>
          <w:rFonts w:hint="eastAsia" w:ascii="黑体"/>
          <w:lang w:val="en-US" w:eastAsia="zh-CN"/>
        </w:rPr>
        <w:t>8</w:t>
      </w:r>
      <w:r>
        <w:rPr>
          <w:rFonts w:hint="eastAsia"/>
        </w:rPr>
        <w:t>发布</w:t>
      </w:r>
    </w:p>
    <w:p>
      <w:pPr>
        <w:pStyle w:val="194"/>
        <w:framePr w:wrap="around" w:y="14176"/>
      </w:pPr>
      <w:r>
        <w:rPr>
          <w:rFonts w:hint="eastAsia" w:ascii="黑体"/>
          <w:lang w:val="en-US" w:eastAsia="zh-CN"/>
        </w:rPr>
        <w:t>2024</w:t>
      </w:r>
      <w:r>
        <w:t xml:space="preserve"> </w:t>
      </w:r>
      <w:r>
        <w:rPr>
          <w:rFonts w:ascii="黑体"/>
        </w:rPr>
        <w:t>-</w:t>
      </w:r>
      <w:r>
        <w:t xml:space="preserve"> </w:t>
      </w:r>
      <w:r>
        <w:rPr>
          <w:rFonts w:hint="eastAsia" w:ascii="黑体"/>
          <w:lang w:val="en-US" w:eastAsia="zh-CN"/>
        </w:rPr>
        <w:t>1</w:t>
      </w:r>
      <w:r>
        <w:t xml:space="preserve"> </w:t>
      </w:r>
      <w:r>
        <w:rPr>
          <w:rFonts w:ascii="黑体"/>
        </w:rPr>
        <w:t>-</w:t>
      </w:r>
      <w:r>
        <w:t xml:space="preserve"> </w:t>
      </w:r>
      <w:r>
        <w:rPr>
          <w:rFonts w:hint="eastAsia" w:ascii="黑体"/>
          <w:lang w:val="en-US" w:eastAsia="zh-CN"/>
        </w:rPr>
        <w:t>1</w:t>
      </w:r>
      <w:bookmarkStart w:id="119" w:name="_GoBack"/>
      <w:bookmarkEnd w:id="1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8" w:name="fm"/>
      <w:r>
        <w:rPr>
          <w:rFonts w:hAnsi="黑体"/>
          <w:w w:val="100"/>
          <w:sz w:val="28"/>
        </w:rPr>
        <w:instrText xml:space="preserve"> FORMTEXT </w:instrText>
      </w:r>
      <w:r>
        <w:rPr>
          <w:rFonts w:hAnsi="黑体"/>
          <w:w w:val="100"/>
          <w:sz w:val="28"/>
        </w:rPr>
        <w:fldChar w:fldCharType="separate"/>
      </w:r>
      <w:r>
        <w:rPr>
          <w:rFonts w:hint="eastAsia" w:hAnsi="黑体"/>
          <w:w w:val="100"/>
          <w:sz w:val="28"/>
        </w:rPr>
        <w:t>青岛市市场监督管理局</w:t>
      </w:r>
      <w:r>
        <w:rPr>
          <w:rFonts w:hAnsi="黑体"/>
          <w:w w:val="100"/>
          <w:sz w:val="28"/>
        </w:rPr>
        <w:fldChar w:fldCharType="end"/>
      </w:r>
      <w:bookmarkEnd w:id="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9" w:name="BookMark1"/>
      <w:bookmarkStart w:id="10" w:name="_Toc152140156"/>
      <w:bookmarkStart w:id="11" w:name="_Toc152158569"/>
      <w:bookmarkStart w:id="12" w:name="_Toc152059314"/>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"_Toc152159070" </w:instrText>
      </w:r>
      <w:r>
        <w:fldChar w:fldCharType="separate"/>
      </w:r>
      <w:r>
        <w:rPr>
          <w:rStyle w:val="32"/>
          <w:rFonts w:hint="eastAsia"/>
        </w:rPr>
        <w:t>前言</w:t>
      </w:r>
      <w:r>
        <w:tab/>
      </w:r>
      <w:r>
        <w:fldChar w:fldCharType="begin"/>
      </w:r>
      <w:r>
        <w:instrText xml:space="preserve"> PAGEREF _Toc152159070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"_Toc152159071" </w:instrText>
      </w:r>
      <w:r>
        <w:fldChar w:fldCharType="separate"/>
      </w:r>
      <w:r>
        <w:rPr>
          <w:rStyle w:val="32"/>
        </w:rPr>
        <w:t xml:space="preserve">1 </w:t>
      </w:r>
      <w:r>
        <w:rPr>
          <w:rStyle w:val="32"/>
          <w:rFonts w:hint="eastAsia"/>
        </w:rPr>
        <w:t xml:space="preserve"> 范围</w:t>
      </w:r>
      <w:r>
        <w:tab/>
      </w:r>
      <w:r>
        <w:fldChar w:fldCharType="begin"/>
      </w:r>
      <w:r>
        <w:instrText xml:space="preserve"> PAGEREF _Toc152159071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"_Toc152159072"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_Toc152159072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"_Toc152159073"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_Toc152159073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"_Toc152159074" </w:instrText>
      </w:r>
      <w:r>
        <w:fldChar w:fldCharType="separate"/>
      </w:r>
      <w:r>
        <w:rPr>
          <w:rStyle w:val="32"/>
        </w:rPr>
        <w:t xml:space="preserve">4 </w:t>
      </w:r>
      <w:r>
        <w:rPr>
          <w:rStyle w:val="32"/>
          <w:rFonts w:hint="eastAsia"/>
        </w:rPr>
        <w:t xml:space="preserve"> 保护范围</w:t>
      </w:r>
      <w:r>
        <w:tab/>
      </w:r>
      <w:r>
        <w:fldChar w:fldCharType="begin"/>
      </w:r>
      <w:r>
        <w:instrText xml:space="preserve"> PAGEREF _Toc152159074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"_Toc152159075" </w:instrText>
      </w:r>
      <w:r>
        <w:fldChar w:fldCharType="separate"/>
      </w:r>
      <w:r>
        <w:rPr>
          <w:rStyle w:val="32"/>
        </w:rPr>
        <w:t xml:space="preserve">5 </w:t>
      </w:r>
      <w:r>
        <w:rPr>
          <w:rStyle w:val="32"/>
          <w:rFonts w:hint="eastAsia"/>
        </w:rPr>
        <w:t xml:space="preserve"> 质量要求</w:t>
      </w:r>
      <w:r>
        <w:tab/>
      </w:r>
      <w:r>
        <w:fldChar w:fldCharType="begin"/>
      </w:r>
      <w:r>
        <w:instrText xml:space="preserve"> PAGEREF _Toc152159075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"_Toc152159076" </w:instrText>
      </w:r>
      <w:r>
        <w:fldChar w:fldCharType="separate"/>
      </w:r>
      <w:r>
        <w:rPr>
          <w:rStyle w:val="32"/>
          <w14:scene3d w14:prst="orthographicFront">
            <w14:lightRig w14:rig="threePt" w14:dir="t">
              <w14:rot w14:lat="0" w14:lon="0" w14:rev="0"/>
            </w14:lightRig>
          </w14:scene3d>
        </w:rPr>
        <w:t xml:space="preserve">5.1 </w:t>
      </w:r>
      <w:r>
        <w:rPr>
          <w:rStyle w:val="32"/>
          <w:rFonts w:hint="eastAsia"/>
        </w:rPr>
        <w:t xml:space="preserve"> 感官要求</w:t>
      </w:r>
      <w:r>
        <w:tab/>
      </w:r>
      <w:r>
        <w:fldChar w:fldCharType="begin"/>
      </w:r>
      <w:r>
        <w:instrText xml:space="preserve"> PAGEREF _Toc152159076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"_Toc152159077" </w:instrText>
      </w:r>
      <w:r>
        <w:fldChar w:fldCharType="separate"/>
      </w:r>
      <w:r>
        <w:rPr>
          <w:rStyle w:val="32"/>
          <w14:scene3d w14:prst="orthographicFront">
            <w14:lightRig w14:rig="threePt" w14:dir="t">
              <w14:rot w14:lat="0" w14:lon="0" w14:rev="0"/>
            </w14:lightRig>
          </w14:scene3d>
        </w:rPr>
        <w:t xml:space="preserve">5.2 </w:t>
      </w:r>
      <w:r>
        <w:rPr>
          <w:rStyle w:val="32"/>
          <w:rFonts w:hint="eastAsia"/>
        </w:rPr>
        <w:t xml:space="preserve"> 品质指标</w:t>
      </w:r>
      <w:r>
        <w:tab/>
      </w:r>
      <w:r>
        <w:fldChar w:fldCharType="begin"/>
      </w:r>
      <w:r>
        <w:instrText xml:space="preserve"> PAGEREF _Toc152159077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"_Toc152159078" </w:instrText>
      </w:r>
      <w:r>
        <w:fldChar w:fldCharType="separate"/>
      </w:r>
      <w:r>
        <w:rPr>
          <w:rStyle w:val="32"/>
          <w14:scene3d w14:prst="orthographicFront">
            <w14:lightRig w14:rig="threePt" w14:dir="t">
              <w14:rot w14:lat="0" w14:lon="0" w14:rev="0"/>
            </w14:lightRig>
          </w14:scene3d>
        </w:rPr>
        <w:t xml:space="preserve">5.3 </w:t>
      </w:r>
      <w:r>
        <w:rPr>
          <w:rStyle w:val="32"/>
          <w:rFonts w:hint="eastAsia"/>
        </w:rPr>
        <w:t xml:space="preserve"> 卫生指标</w:t>
      </w:r>
      <w:r>
        <w:tab/>
      </w:r>
      <w:r>
        <w:fldChar w:fldCharType="begin"/>
      </w:r>
      <w:r>
        <w:instrText xml:space="preserve"> PAGEREF _Toc152159078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"_Toc152159079" </w:instrText>
      </w:r>
      <w:r>
        <w:fldChar w:fldCharType="separate"/>
      </w:r>
      <w:r>
        <w:rPr>
          <w:rStyle w:val="32"/>
        </w:rPr>
        <w:t xml:space="preserve">6 </w:t>
      </w:r>
      <w:r>
        <w:rPr>
          <w:rStyle w:val="32"/>
          <w:rFonts w:hint="eastAsia"/>
        </w:rPr>
        <w:t xml:space="preserve"> 检验方法</w:t>
      </w:r>
      <w:r>
        <w:tab/>
      </w:r>
      <w:r>
        <w:fldChar w:fldCharType="begin"/>
      </w:r>
      <w:r>
        <w:instrText xml:space="preserve"> PAGEREF _Toc152159079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"_Toc152159080"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感官检验</w:t>
      </w:r>
      <w:r>
        <w:tab/>
      </w:r>
      <w:r>
        <w:fldChar w:fldCharType="begin"/>
      </w:r>
      <w:r>
        <w:instrText xml:space="preserve"> PAGEREF _Toc152159080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"_Toc152159081"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理化指标检测</w:t>
      </w:r>
      <w:r>
        <w:tab/>
      </w:r>
      <w:r>
        <w:fldChar w:fldCharType="begin"/>
      </w:r>
      <w:r>
        <w:instrText xml:space="preserve"> PAGEREF _Toc152159081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"_Toc152159082" </w:instrText>
      </w:r>
      <w:r>
        <w:fldChar w:fldCharType="separate"/>
      </w:r>
      <w:r>
        <w:rPr>
          <w:rStyle w:val="32"/>
        </w:rPr>
        <w:t xml:space="preserve">7 </w:t>
      </w:r>
      <w:r>
        <w:rPr>
          <w:rStyle w:val="32"/>
          <w:rFonts w:hint="eastAsia"/>
        </w:rPr>
        <w:t xml:space="preserve"> 标签、标识</w:t>
      </w:r>
      <w:r>
        <w:tab/>
      </w:r>
      <w:r>
        <w:fldChar w:fldCharType="begin"/>
      </w:r>
      <w:r>
        <w:instrText xml:space="preserve"> PAGEREF _Toc152159082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"_Toc152159083" </w:instrText>
      </w:r>
      <w:r>
        <w:fldChar w:fldCharType="separate"/>
      </w:r>
      <w:r>
        <w:rPr>
          <w:rStyle w:val="32"/>
        </w:rPr>
        <w:t xml:space="preserve">8 </w:t>
      </w:r>
      <w:r>
        <w:rPr>
          <w:rStyle w:val="32"/>
          <w:rFonts w:hint="eastAsia"/>
        </w:rPr>
        <w:t xml:space="preserve"> 包装</w:t>
      </w:r>
      <w:r>
        <w:tab/>
      </w:r>
      <w:r>
        <w:fldChar w:fldCharType="begin"/>
      </w:r>
      <w:r>
        <w:instrText xml:space="preserve"> PAGEREF _Toc152159083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"_Toc152159084" </w:instrText>
      </w:r>
      <w:r>
        <w:fldChar w:fldCharType="separate"/>
      </w:r>
      <w:r>
        <w:rPr>
          <w:rStyle w:val="32"/>
        </w:rPr>
        <w:t xml:space="preserve">9 </w:t>
      </w:r>
      <w:r>
        <w:rPr>
          <w:rStyle w:val="32"/>
          <w:rFonts w:hint="eastAsia"/>
        </w:rPr>
        <w:t xml:space="preserve"> 运输</w:t>
      </w:r>
      <w:r>
        <w:tab/>
      </w:r>
      <w:r>
        <w:fldChar w:fldCharType="begin"/>
      </w:r>
      <w:r>
        <w:instrText xml:space="preserve"> PAGEREF _Toc152159084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"_Toc152159085" </w:instrText>
      </w:r>
      <w:r>
        <w:fldChar w:fldCharType="separate"/>
      </w:r>
      <w:r>
        <w:rPr>
          <w:rStyle w:val="32"/>
        </w:rPr>
        <w:t xml:space="preserve">10 </w:t>
      </w:r>
      <w:r>
        <w:rPr>
          <w:rStyle w:val="32"/>
          <w:rFonts w:hint="eastAsia"/>
        </w:rPr>
        <w:t xml:space="preserve"> 贮存</w:t>
      </w:r>
      <w:r>
        <w:tab/>
      </w:r>
      <w:r>
        <w:fldChar w:fldCharType="begin"/>
      </w:r>
      <w:r>
        <w:instrText xml:space="preserve"> PAGEREF _Toc152159085 \h </w:instrText>
      </w:r>
      <w:r>
        <w:fldChar w:fldCharType="separate"/>
      </w:r>
      <w:r>
        <w:t>4</w:t>
      </w:r>
      <w:r>
        <w:fldChar w:fldCharType="end"/>
      </w:r>
      <w:r>
        <w:fldChar w:fldCharType="end"/>
      </w:r>
    </w:p>
    <w:p>
      <w:pPr>
        <w:pStyle w:val="91"/>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9"/>
    <w:p>
      <w:pPr>
        <w:pStyle w:val="89"/>
        <w:spacing w:after="468"/>
      </w:pPr>
      <w:bookmarkStart w:id="13" w:name="_Toc152159070"/>
      <w:bookmarkStart w:id="14" w:name="BookMark2"/>
      <w:r>
        <w:rPr>
          <w:spacing w:val="320"/>
        </w:rPr>
        <w:t>前</w:t>
      </w:r>
      <w:r>
        <w:t>言</w:t>
      </w:r>
      <w:bookmarkEnd w:id="10"/>
      <w:bookmarkEnd w:id="11"/>
      <w:bookmarkEnd w:id="12"/>
      <w:bookmarkEnd w:id="1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本文件DB3702/T 25《地理标志产品 大村黑木耳》的第2部分。DB3702/T 25已经发布了以下部分：</w:t>
      </w:r>
    </w:p>
    <w:p>
      <w:pPr>
        <w:pStyle w:val="56"/>
        <w:ind w:firstLine="420"/>
      </w:pPr>
      <w:r>
        <w:rPr>
          <w:rFonts w:hint="eastAsia"/>
        </w:rPr>
        <w:t>——第1部分：生产技术规程；</w:t>
      </w:r>
    </w:p>
    <w:p>
      <w:pPr>
        <w:pStyle w:val="56"/>
        <w:ind w:firstLine="420"/>
      </w:pPr>
      <w:r>
        <w:rPr>
          <w:rFonts w:hint="eastAsia"/>
        </w:rPr>
        <w:t>——第2部分：质量标准。</w:t>
      </w:r>
    </w:p>
    <w:p>
      <w:pPr>
        <w:pStyle w:val="56"/>
        <w:ind w:firstLine="420"/>
      </w:pPr>
      <w:r>
        <w:rPr>
          <w:rFonts w:hint="eastAsia"/>
        </w:rPr>
        <w:t>本文件由青岛市农业农村局提出。</w:t>
      </w:r>
    </w:p>
    <w:p>
      <w:pPr>
        <w:pStyle w:val="56"/>
        <w:ind w:firstLine="420"/>
      </w:pPr>
      <w:r>
        <w:rPr>
          <w:rFonts w:hint="eastAsia"/>
        </w:rPr>
        <w:t>本文件由青岛市农业农村标准化技术委员会归口。</w:t>
      </w:r>
    </w:p>
    <w:p>
      <w:pPr>
        <w:pStyle w:val="56"/>
        <w:ind w:firstLine="420"/>
      </w:pPr>
      <w:r>
        <w:rPr>
          <w:rFonts w:hint="eastAsia"/>
        </w:rPr>
        <w:t>本文件起草单位：青岛市黄岛区农业农村事业发展中心、青岛西海岸省级农业高新技术产业开发区管委会、青岛市黄岛区大村镇农业农村中心、莱西市农业农村局、青岛菇香大村农产品专业合作社。</w:t>
      </w:r>
    </w:p>
    <w:p>
      <w:pPr>
        <w:pStyle w:val="56"/>
        <w:ind w:firstLine="420"/>
      </w:pPr>
      <w:r>
        <w:rPr>
          <w:rFonts w:hint="eastAsia"/>
        </w:rPr>
        <w:t>本文件主要起草人：逄安、韩燕红、王庆东、殷登科、李宁、崔艳丽、李秀红、韩加勤、林静、颜荣、宋江富、逄润卿、李佃兵、徐洪海。</w:t>
      </w:r>
    </w:p>
    <w:p>
      <w:pPr>
        <w:pStyle w:val="56"/>
        <w:ind w:firstLine="420"/>
      </w:pPr>
    </w:p>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14"/>
    <w:p>
      <w:pPr>
        <w:spacing w:line="20" w:lineRule="exact"/>
        <w:jc w:val="center"/>
        <w:rPr>
          <w:rFonts w:ascii="黑体" w:hAnsi="黑体" w:eastAsia="黑体"/>
          <w:sz w:val="32"/>
          <w:szCs w:val="32"/>
        </w:rPr>
      </w:pPr>
      <w:bookmarkStart w:id="15" w:name="BookMark4"/>
    </w:p>
    <w:p>
      <w:pPr>
        <w:spacing w:line="20" w:lineRule="exact"/>
        <w:jc w:val="center"/>
        <w:rPr>
          <w:rFonts w:ascii="黑体" w:hAnsi="黑体" w:eastAsia="黑体"/>
          <w:sz w:val="32"/>
          <w:szCs w:val="32"/>
        </w:rPr>
      </w:pPr>
    </w:p>
    <w:sdt>
      <w:sdtPr>
        <w:tag w:val="NEW_STAND_NAME"/>
        <w:id w:val="595910757"/>
        <w:lock w:val="sdtLocked"/>
        <w:placeholder>
          <w:docPart w:val="9C6F1925B790449296D6110EBAB1B938"/>
        </w:placeholder>
      </w:sdtPr>
      <w:sdtContent>
        <w:p>
          <w:pPr>
            <w:pStyle w:val="177"/>
            <w:spacing w:before="3" w:beforeLines="1" w:after="686" w:afterLines="220"/>
          </w:pPr>
          <w:bookmarkStart w:id="16" w:name="NEW_STAND_NAME"/>
          <w:r>
            <w:rPr>
              <w:rFonts w:hint="eastAsia"/>
            </w:rPr>
            <w:t>地理标志产品</w:t>
          </w:r>
          <w:r>
            <w:t xml:space="preserve"> 大村黑木耳</w:t>
          </w:r>
          <w:r>
            <w:rPr>
              <w:rFonts w:hint="eastAsia"/>
            </w:rPr>
            <w:t xml:space="preserve"> </w:t>
          </w:r>
          <w:r>
            <w:t>第2部分：质量标准</w:t>
          </w:r>
        </w:p>
      </w:sdtContent>
    </w:sdt>
    <w:bookmarkEnd w:id="16"/>
    <w:p>
      <w:pPr>
        <w:pStyle w:val="104"/>
        <w:spacing w:before="312" w:after="312"/>
      </w:pPr>
      <w:bookmarkStart w:id="17" w:name="_Toc26986530"/>
      <w:bookmarkStart w:id="18" w:name="_Toc24884218"/>
      <w:bookmarkStart w:id="19" w:name="_Toc17233325"/>
      <w:bookmarkStart w:id="20" w:name="_Toc17233333"/>
      <w:bookmarkStart w:id="21" w:name="_Toc26648465"/>
      <w:bookmarkStart w:id="22" w:name="_Toc152159071"/>
      <w:bookmarkStart w:id="23" w:name="_Toc97191423"/>
      <w:bookmarkStart w:id="24" w:name="_Toc152158570"/>
      <w:bookmarkStart w:id="25" w:name="_Toc24884211"/>
      <w:bookmarkStart w:id="26" w:name="_Toc152140157"/>
      <w:bookmarkStart w:id="27" w:name="_Toc26718930"/>
      <w:bookmarkStart w:id="28" w:name="_Toc152059315"/>
      <w:bookmarkStart w:id="29" w:name="_Toc26986771"/>
      <w:r>
        <w:rPr>
          <w:rFonts w:hint="eastAsia"/>
        </w:rPr>
        <w:t>范围</w:t>
      </w:r>
      <w:bookmarkEnd w:id="17"/>
      <w:bookmarkEnd w:id="18"/>
      <w:bookmarkEnd w:id="19"/>
      <w:bookmarkEnd w:id="20"/>
      <w:bookmarkEnd w:id="21"/>
      <w:bookmarkEnd w:id="22"/>
      <w:bookmarkEnd w:id="23"/>
      <w:bookmarkEnd w:id="24"/>
      <w:bookmarkEnd w:id="25"/>
      <w:bookmarkEnd w:id="26"/>
      <w:bookmarkEnd w:id="27"/>
      <w:bookmarkEnd w:id="28"/>
      <w:bookmarkEnd w:id="29"/>
    </w:p>
    <w:p>
      <w:pPr>
        <w:pStyle w:val="56"/>
        <w:ind w:firstLine="420"/>
      </w:pPr>
      <w:bookmarkStart w:id="30" w:name="_Toc17233334"/>
      <w:bookmarkStart w:id="31" w:name="_Toc24884212"/>
      <w:bookmarkStart w:id="32" w:name="_Toc17233326"/>
      <w:bookmarkStart w:id="33" w:name="_Toc26648466"/>
      <w:bookmarkStart w:id="34" w:name="_Toc24884219"/>
      <w:r>
        <w:rPr>
          <w:rFonts w:hint="eastAsia"/>
        </w:rPr>
        <w:t>本文件规定了地理标志农产品大村黑木耳的术语和定义、保护范围、质量要求、检验方法及标签、标识、包装、运输、贮存。</w:t>
      </w:r>
    </w:p>
    <w:p>
      <w:pPr>
        <w:pStyle w:val="56"/>
        <w:ind w:firstLine="420"/>
      </w:pPr>
      <w:r>
        <w:rPr>
          <w:rFonts w:hint="eastAsia"/>
        </w:rPr>
        <w:t>本文件适用于农业农村部《农产品地理标志管理办法》批准保护的大村黑木耳的生产。</w:t>
      </w:r>
    </w:p>
    <w:p>
      <w:pPr>
        <w:pStyle w:val="104"/>
        <w:spacing w:before="312" w:after="312"/>
      </w:pPr>
      <w:bookmarkStart w:id="35" w:name="_Toc152140158"/>
      <w:bookmarkStart w:id="36" w:name="_Toc152159072"/>
      <w:bookmarkStart w:id="37" w:name="_Toc97191424"/>
      <w:bookmarkStart w:id="38" w:name="_Toc26986531"/>
      <w:bookmarkStart w:id="39" w:name="_Toc152059316"/>
      <w:bookmarkStart w:id="40" w:name="_Toc152158571"/>
      <w:bookmarkStart w:id="41" w:name="_Toc26986772"/>
      <w:bookmarkStart w:id="42" w:name="_Toc26718931"/>
      <w:r>
        <w:rPr>
          <w:rFonts w:hint="eastAsia"/>
        </w:rPr>
        <w:t>规范性引用文件</w:t>
      </w:r>
      <w:bookmarkEnd w:id="30"/>
      <w:bookmarkEnd w:id="31"/>
      <w:bookmarkEnd w:id="32"/>
      <w:bookmarkEnd w:id="33"/>
      <w:bookmarkEnd w:id="34"/>
      <w:bookmarkEnd w:id="35"/>
      <w:bookmarkEnd w:id="36"/>
      <w:bookmarkEnd w:id="37"/>
      <w:bookmarkEnd w:id="38"/>
      <w:bookmarkEnd w:id="39"/>
      <w:bookmarkEnd w:id="40"/>
      <w:bookmarkEnd w:id="41"/>
      <w:bookmarkEnd w:id="42"/>
    </w:p>
    <w:sdt>
      <w:sdtPr>
        <w:rPr>
          <w:rFonts w:hint="eastAsia"/>
        </w:rPr>
        <w:id w:val="715848253"/>
        <w:placeholder>
          <w:docPart w:val="2AAD40CA0359422EBF569C35E34D47C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szCs w:val="21"/>
        </w:rPr>
      </w:pPr>
      <w:r>
        <w:rPr>
          <w:rFonts w:hint="eastAsia"/>
        </w:rPr>
        <w:t>GB/T 191  包装储运图示标志</w:t>
      </w:r>
    </w:p>
    <w:p>
      <w:pPr>
        <w:pStyle w:val="56"/>
        <w:ind w:firstLine="420"/>
      </w:pPr>
      <w:r>
        <w:rPr>
          <w:rFonts w:hint="eastAsia"/>
        </w:rPr>
        <w:t>GB 2762  食品安全国家标准  食品中污染物限量</w:t>
      </w:r>
    </w:p>
    <w:p>
      <w:pPr>
        <w:pStyle w:val="56"/>
        <w:ind w:firstLine="420"/>
      </w:pPr>
      <w:r>
        <w:rPr>
          <w:rFonts w:hint="eastAsia"/>
        </w:rPr>
        <w:t>GB 2763  食品安全国家标准  食品中农药最大残留限量</w:t>
      </w:r>
    </w:p>
    <w:p>
      <w:pPr>
        <w:pStyle w:val="56"/>
        <w:ind w:firstLine="420"/>
      </w:pPr>
      <w:r>
        <w:rPr>
          <w:rFonts w:hint="eastAsia"/>
        </w:rPr>
        <w:t>GB 4806.7  食品接触用塑料材料及制品</w:t>
      </w:r>
    </w:p>
    <w:p>
      <w:pPr>
        <w:pStyle w:val="56"/>
        <w:ind w:firstLine="420"/>
      </w:pPr>
      <w:r>
        <w:rPr>
          <w:rFonts w:hint="eastAsia"/>
        </w:rPr>
        <w:t>GB 5009.3  食品安全国家标准  食品中水分的测定</w:t>
      </w:r>
    </w:p>
    <w:p>
      <w:pPr>
        <w:pStyle w:val="56"/>
        <w:ind w:firstLine="420"/>
      </w:pPr>
      <w:r>
        <w:rPr>
          <w:rFonts w:hint="eastAsia"/>
        </w:rPr>
        <w:t>GB 5009.4  食品安全国家标准  食品中灰分的测定</w:t>
      </w:r>
    </w:p>
    <w:p>
      <w:pPr>
        <w:pStyle w:val="56"/>
        <w:ind w:firstLine="420"/>
      </w:pPr>
      <w:r>
        <w:rPr>
          <w:rFonts w:hint="eastAsia"/>
        </w:rPr>
        <w:t>GB/T 6543  运输包装用单瓦楞纸箱和双瓦楞纸箱</w:t>
      </w:r>
    </w:p>
    <w:p>
      <w:pPr>
        <w:pStyle w:val="56"/>
        <w:ind w:firstLine="420"/>
      </w:pPr>
      <w:r>
        <w:rPr>
          <w:rFonts w:hint="eastAsia"/>
        </w:rPr>
        <w:t>GB 7718  食品安全国家标准 预包装食品标签通则</w:t>
      </w:r>
    </w:p>
    <w:p>
      <w:pPr>
        <w:pStyle w:val="56"/>
        <w:ind w:firstLine="420"/>
      </w:pPr>
      <w:r>
        <w:rPr>
          <w:rFonts w:hint="eastAsia"/>
        </w:rPr>
        <w:t>GB/T 12533  食用菌杂质测定</w:t>
      </w:r>
    </w:p>
    <w:p>
      <w:pPr>
        <w:pStyle w:val="56"/>
        <w:ind w:firstLine="420"/>
      </w:pPr>
      <w:r>
        <w:rPr>
          <w:rFonts w:hint="eastAsia"/>
        </w:rPr>
        <w:t>DB3702/T 25.1—2023  地理标志产品 大村木耳 第1部分：生产技术规程</w:t>
      </w:r>
    </w:p>
    <w:p>
      <w:pPr>
        <w:pStyle w:val="56"/>
        <w:ind w:firstLine="420"/>
      </w:pPr>
      <w:r>
        <w:rPr>
          <w:rFonts w:hint="eastAsia"/>
        </w:rPr>
        <w:t>农产品地理标志管理办法（中华人民共和国农业部令第11号）</w:t>
      </w:r>
    </w:p>
    <w:p>
      <w:pPr>
        <w:pStyle w:val="104"/>
        <w:spacing w:before="312" w:after="312"/>
      </w:pPr>
      <w:bookmarkStart w:id="43" w:name="_Toc152158572"/>
      <w:bookmarkStart w:id="44" w:name="_Toc97191425"/>
      <w:bookmarkStart w:id="45" w:name="_Toc152140159"/>
      <w:bookmarkStart w:id="46" w:name="_Toc152059317"/>
      <w:bookmarkStart w:id="47" w:name="_Toc152159073"/>
      <w:r>
        <w:rPr>
          <w:rFonts w:hint="eastAsia"/>
          <w:szCs w:val="21"/>
        </w:rPr>
        <w:t>术语和定义</w:t>
      </w:r>
      <w:bookmarkEnd w:id="43"/>
      <w:bookmarkEnd w:id="44"/>
      <w:bookmarkEnd w:id="45"/>
      <w:bookmarkEnd w:id="46"/>
      <w:bookmarkEnd w:id="47"/>
    </w:p>
    <w:sdt>
      <w:sdtPr>
        <w:id w:val="-1909835108"/>
        <w:placeholder>
          <w:docPart w:val="2C8AC88D0FEC42F586B8F84CB293CB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下列术语和定义适用于本文件。</w:t>
          </w:r>
        </w:p>
      </w:sdtContent>
    </w:sdt>
    <w:p>
      <w:pPr>
        <w:pStyle w:val="223"/>
        <w:ind w:left="420" w:hanging="420" w:hangingChars="200"/>
        <w:rPr>
          <w:rFonts w:ascii="黑体" w:hAnsi="黑体" w:eastAsia="黑体"/>
        </w:rPr>
      </w:pPr>
      <w:bookmarkStart w:id="49" w:name="_Toc149828058"/>
      <w:r>
        <w:rPr>
          <w:rFonts w:ascii="黑体" w:hAnsi="黑体" w:eastAsia="黑体"/>
        </w:rPr>
        <w:br w:type="textWrapping"/>
      </w:r>
      <w:r>
        <w:rPr>
          <w:rFonts w:hint="eastAsia" w:ascii="黑体" w:hAnsi="黑体" w:eastAsia="黑体"/>
        </w:rPr>
        <w:t>农产品地理标志</w:t>
      </w:r>
      <w:bookmarkEnd w:id="49"/>
      <w:r>
        <w:rPr>
          <w:rFonts w:hint="eastAsia" w:ascii="黑体" w:hAnsi="黑体" w:eastAsia="黑体"/>
        </w:rPr>
        <w:t xml:space="preserve">  </w:t>
      </w:r>
      <w:r>
        <w:rPr>
          <w:rFonts w:hint="eastAsia" w:ascii="Times New Roman" w:eastAsia="黑体"/>
          <w:b/>
          <w:szCs w:val="28"/>
        </w:rPr>
        <w:t>p</w:t>
      </w:r>
      <w:r>
        <w:rPr>
          <w:rFonts w:ascii="Times New Roman" w:eastAsia="黑体"/>
          <w:b/>
          <w:szCs w:val="28"/>
        </w:rPr>
        <w:t>roduct of geographical indication</w:t>
      </w:r>
    </w:p>
    <w:p>
      <w:pPr>
        <w:pStyle w:val="56"/>
        <w:ind w:firstLine="420"/>
      </w:pPr>
      <w:r>
        <w:rPr>
          <w:rFonts w:hint="eastAsia"/>
        </w:rPr>
        <w:t>标示农产品来源于特定地域，产品品质和相关特征主要取决于自然生态环境和历史人文因素，并以地域名称冠名的特有农产品标志。</w:t>
      </w:r>
    </w:p>
    <w:p>
      <w:pPr>
        <w:pStyle w:val="223"/>
        <w:ind w:left="420" w:hanging="420" w:hangingChars="200"/>
        <w:rPr>
          <w:rFonts w:ascii="黑体" w:hAnsi="黑体" w:eastAsia="黑体"/>
        </w:rPr>
      </w:pPr>
      <w:bookmarkStart w:id="50" w:name="_Toc149828059"/>
      <w:r>
        <w:rPr>
          <w:rFonts w:ascii="黑体" w:hAnsi="黑体" w:eastAsia="黑体"/>
        </w:rPr>
        <w:br w:type="textWrapping"/>
      </w:r>
      <w:r>
        <w:rPr>
          <w:rFonts w:hint="eastAsia" w:ascii="黑体" w:hAnsi="黑体" w:eastAsia="黑体"/>
        </w:rPr>
        <w:t>大村黑木耳</w:t>
      </w:r>
      <w:bookmarkEnd w:id="50"/>
      <w:r>
        <w:rPr>
          <w:rFonts w:hint="eastAsia" w:ascii="黑体" w:hAnsi="黑体" w:eastAsia="黑体"/>
        </w:rPr>
        <w:t xml:space="preserve">  </w:t>
      </w:r>
      <w:r>
        <w:rPr>
          <w:rFonts w:ascii="Times New Roman" w:eastAsia="黑体"/>
          <w:b/>
          <w:szCs w:val="21"/>
        </w:rPr>
        <w:t>Dacun auricularia auricular</w:t>
      </w:r>
    </w:p>
    <w:p>
      <w:pPr>
        <w:pStyle w:val="56"/>
        <w:ind w:firstLine="420"/>
      </w:pPr>
      <w:r>
        <w:rPr>
          <w:rFonts w:hint="eastAsia"/>
        </w:rPr>
        <w:t>产自大村黑木耳地理标志地域保护范围内，在独特的自然生态环境下，根据特定生产方式生产的黑木耳干品。</w:t>
      </w:r>
    </w:p>
    <w:p>
      <w:pPr>
        <w:pStyle w:val="56"/>
        <w:ind w:firstLine="420"/>
      </w:pPr>
      <w:r>
        <w:rPr>
          <w:rFonts w:hint="eastAsia"/>
        </w:rPr>
        <w:t>[来源：DB3702/T 25.1—2023，3.1]</w:t>
      </w:r>
    </w:p>
    <w:p>
      <w:pPr>
        <w:pStyle w:val="223"/>
        <w:ind w:left="420" w:hanging="420" w:hangingChars="200"/>
        <w:rPr>
          <w:rFonts w:ascii="黑体" w:hAnsi="黑体" w:eastAsia="黑体"/>
        </w:rPr>
      </w:pPr>
      <w:bookmarkStart w:id="51" w:name="_Toc149828060"/>
      <w:r>
        <w:rPr>
          <w:rFonts w:ascii="黑体" w:hAnsi="黑体" w:eastAsia="黑体"/>
        </w:rPr>
        <w:br w:type="textWrapping"/>
      </w:r>
      <w:r>
        <w:rPr>
          <w:rFonts w:hint="eastAsia" w:ascii="黑体" w:hAnsi="黑体" w:eastAsia="黑体"/>
        </w:rPr>
        <w:t>霉烂耳</w:t>
      </w:r>
      <w:bookmarkEnd w:id="51"/>
      <w:r>
        <w:rPr>
          <w:rFonts w:hint="eastAsia" w:ascii="黑体" w:hAnsi="黑体" w:eastAsia="黑体"/>
        </w:rPr>
        <w:t xml:space="preserve"> </w:t>
      </w:r>
      <w:r>
        <w:rPr>
          <w:rFonts w:hint="eastAsia" w:ascii="Times New Roman" w:eastAsia="黑体"/>
          <w:b/>
          <w:szCs w:val="21"/>
        </w:rPr>
        <w:t xml:space="preserve"> moldy ears</w:t>
      </w:r>
    </w:p>
    <w:p>
      <w:pPr>
        <w:pStyle w:val="56"/>
        <w:ind w:firstLine="420"/>
      </w:pPr>
      <w:r>
        <w:rPr>
          <w:rFonts w:hint="eastAsia"/>
        </w:rPr>
        <w:t>有肉眼可见的霉菌侵染或腐烂的黑木耳。</w:t>
      </w:r>
    </w:p>
    <w:p>
      <w:pPr>
        <w:pStyle w:val="223"/>
        <w:ind w:left="420" w:hanging="420" w:hangingChars="200"/>
        <w:rPr>
          <w:rFonts w:ascii="黑体" w:hAnsi="黑体" w:eastAsia="黑体"/>
        </w:rPr>
      </w:pPr>
      <w:bookmarkStart w:id="52" w:name="_Toc149828061"/>
      <w:r>
        <w:rPr>
          <w:rFonts w:ascii="黑体" w:hAnsi="黑体" w:eastAsia="黑体"/>
        </w:rPr>
        <w:br w:type="textWrapping"/>
      </w:r>
      <w:r>
        <w:rPr>
          <w:rFonts w:hint="eastAsia" w:ascii="黑体" w:hAnsi="黑体" w:eastAsia="黑体"/>
        </w:rPr>
        <w:t>虫蛀耳</w:t>
      </w:r>
      <w:bookmarkEnd w:id="52"/>
      <w:r>
        <w:rPr>
          <w:rFonts w:hint="eastAsia" w:ascii="黑体" w:hAnsi="黑体" w:eastAsia="黑体"/>
        </w:rPr>
        <w:t xml:space="preserve">  </w:t>
      </w:r>
      <w:r>
        <w:rPr>
          <w:rFonts w:hint="eastAsia" w:ascii="Times New Roman" w:eastAsia="黑体"/>
          <w:b/>
          <w:szCs w:val="21"/>
        </w:rPr>
        <w:t>moth-eaten ears</w:t>
      </w:r>
    </w:p>
    <w:p>
      <w:pPr>
        <w:pStyle w:val="56"/>
        <w:ind w:firstLine="420"/>
      </w:pPr>
      <w:r>
        <w:rPr>
          <w:rFonts w:hint="eastAsia"/>
        </w:rPr>
        <w:t>有虫害痕迹的黑木耳。</w:t>
      </w:r>
    </w:p>
    <w:p>
      <w:pPr>
        <w:pStyle w:val="223"/>
        <w:ind w:left="420" w:hanging="420" w:hangingChars="200"/>
        <w:rPr>
          <w:rFonts w:ascii="黑体" w:hAnsi="黑体" w:eastAsia="黑体"/>
        </w:rPr>
      </w:pPr>
      <w:bookmarkStart w:id="53" w:name="_Toc149828062"/>
      <w:r>
        <w:rPr>
          <w:rFonts w:ascii="黑体" w:hAnsi="黑体" w:eastAsia="黑体"/>
        </w:rPr>
        <w:br w:type="textWrapping"/>
      </w:r>
      <w:r>
        <w:rPr>
          <w:rFonts w:hint="eastAsia" w:ascii="黑体" w:hAnsi="黑体" w:eastAsia="黑体"/>
        </w:rPr>
        <w:t>杂质</w:t>
      </w:r>
      <w:bookmarkEnd w:id="53"/>
      <w:r>
        <w:rPr>
          <w:rFonts w:hint="eastAsia" w:ascii="黑体" w:hAnsi="黑体" w:eastAsia="黑体"/>
        </w:rPr>
        <w:t xml:space="preserve">  </w:t>
      </w:r>
      <w:r>
        <w:rPr>
          <w:rFonts w:hint="eastAsia" w:ascii="Times New Roman" w:eastAsia="黑体"/>
          <w:b/>
          <w:szCs w:val="21"/>
        </w:rPr>
        <w:t>impurities</w:t>
      </w:r>
    </w:p>
    <w:p>
      <w:pPr>
        <w:pStyle w:val="56"/>
        <w:ind w:firstLine="420"/>
      </w:pPr>
      <w:r>
        <w:rPr>
          <w:rFonts w:hint="eastAsia"/>
        </w:rPr>
        <w:t>除黑木耳以外的一切有机物和无机物。</w:t>
      </w:r>
    </w:p>
    <w:p>
      <w:pPr>
        <w:pStyle w:val="223"/>
        <w:ind w:left="420" w:hanging="420" w:hangingChars="200"/>
        <w:rPr>
          <w:rFonts w:ascii="Times New Roman" w:eastAsia="黑体"/>
          <w:b/>
          <w:szCs w:val="21"/>
        </w:rPr>
      </w:pPr>
      <w:bookmarkStart w:id="54" w:name="_Toc149828063"/>
      <w:r>
        <w:rPr>
          <w:rFonts w:ascii="黑体" w:hAnsi="黑体" w:eastAsia="黑体"/>
        </w:rPr>
        <w:br w:type="textWrapping"/>
      </w:r>
      <w:r>
        <w:rPr>
          <w:rFonts w:hint="eastAsia" w:ascii="黑体" w:hAnsi="黑体" w:eastAsia="黑体"/>
        </w:rPr>
        <w:t>干湿比</w:t>
      </w:r>
      <w:bookmarkEnd w:id="54"/>
      <w:r>
        <w:rPr>
          <w:rFonts w:hint="eastAsia" w:ascii="黑体" w:hAnsi="黑体" w:eastAsia="黑体"/>
        </w:rPr>
        <w:t xml:space="preserve">  </w:t>
      </w:r>
      <w:r>
        <w:rPr>
          <w:rFonts w:hint="eastAsia" w:ascii="Times New Roman" w:eastAsia="黑体"/>
          <w:b/>
          <w:szCs w:val="21"/>
        </w:rPr>
        <w:t>wet to dry ratio</w:t>
      </w:r>
    </w:p>
    <w:p>
      <w:pPr>
        <w:pStyle w:val="56"/>
        <w:ind w:firstLine="420"/>
      </w:pPr>
      <w:r>
        <w:rPr>
          <w:rFonts w:hint="eastAsia"/>
        </w:rPr>
        <w:t>黑木耳干制品与浸泡吸水并甩去余水后的泡发黑木耳质量之比。</w:t>
      </w:r>
    </w:p>
    <w:p>
      <w:pPr>
        <w:pStyle w:val="104"/>
        <w:spacing w:before="312" w:after="312"/>
      </w:pPr>
      <w:bookmarkStart w:id="55" w:name="_Toc152059318"/>
      <w:bookmarkStart w:id="56" w:name="_Toc149828064"/>
      <w:bookmarkStart w:id="57" w:name="_Toc152158573"/>
      <w:bookmarkStart w:id="58" w:name="_Toc152140160"/>
      <w:bookmarkStart w:id="59" w:name="_Toc152159074"/>
      <w:r>
        <w:rPr>
          <w:rFonts w:hint="eastAsia"/>
        </w:rPr>
        <w:t>保护范围</w:t>
      </w:r>
      <w:bookmarkEnd w:id="55"/>
      <w:bookmarkEnd w:id="56"/>
      <w:bookmarkEnd w:id="57"/>
      <w:bookmarkEnd w:id="58"/>
      <w:bookmarkEnd w:id="59"/>
    </w:p>
    <w:p>
      <w:pPr>
        <w:pStyle w:val="56"/>
        <w:ind w:firstLine="420"/>
        <w:rPr>
          <w:rFonts w:ascii="黑体" w:eastAsia="黑体"/>
        </w:rPr>
      </w:pPr>
      <w:bookmarkStart w:id="60" w:name="_Toc152059319"/>
      <w:bookmarkStart w:id="61" w:name="_Toc149828065"/>
      <w:r>
        <w:rPr>
          <w:rFonts w:hint="eastAsia"/>
        </w:rPr>
        <w:t>地理标志产品</w:t>
      </w:r>
      <w:r>
        <w:t>大村黑木耳</w:t>
      </w:r>
      <w:r>
        <w:rPr>
          <w:rFonts w:hint="eastAsia"/>
        </w:rPr>
        <w:t>的产地保护范围限于DB3702/T 25.1—2023第4章中规定的范围。</w:t>
      </w:r>
    </w:p>
    <w:p>
      <w:pPr>
        <w:pStyle w:val="104"/>
        <w:spacing w:before="312" w:after="312"/>
      </w:pPr>
      <w:bookmarkStart w:id="62" w:name="_Toc152159075"/>
      <w:bookmarkStart w:id="63" w:name="_Toc152140161"/>
      <w:bookmarkStart w:id="64" w:name="_Toc152158574"/>
      <w:r>
        <w:rPr>
          <w:rFonts w:hint="eastAsia"/>
        </w:rPr>
        <w:t>质量要求</w:t>
      </w:r>
      <w:bookmarkEnd w:id="60"/>
      <w:bookmarkEnd w:id="61"/>
      <w:bookmarkEnd w:id="62"/>
      <w:bookmarkEnd w:id="63"/>
      <w:bookmarkEnd w:id="64"/>
    </w:p>
    <w:p>
      <w:pPr>
        <w:pStyle w:val="105"/>
        <w:spacing w:before="156" w:after="156"/>
      </w:pPr>
      <w:bookmarkStart w:id="65" w:name="_Toc152140162"/>
      <w:bookmarkStart w:id="66" w:name="_Toc149828066"/>
      <w:bookmarkStart w:id="67" w:name="_Toc152059320"/>
      <w:bookmarkStart w:id="68" w:name="_Toc152158575"/>
      <w:bookmarkStart w:id="69" w:name="_Toc152159076"/>
      <w:r>
        <w:rPr>
          <w:rFonts w:hint="eastAsia"/>
        </w:rPr>
        <w:t>感官要求</w:t>
      </w:r>
      <w:bookmarkEnd w:id="65"/>
      <w:bookmarkEnd w:id="66"/>
      <w:bookmarkEnd w:id="67"/>
      <w:bookmarkEnd w:id="68"/>
      <w:bookmarkEnd w:id="69"/>
    </w:p>
    <w:p>
      <w:pPr>
        <w:pStyle w:val="56"/>
        <w:ind w:firstLine="420"/>
      </w:pPr>
      <w:r>
        <w:rPr>
          <w:rFonts w:hint="eastAsia"/>
        </w:rPr>
        <w:t>应符合表1的规定。</w:t>
      </w:r>
    </w:p>
    <w:p>
      <w:pPr>
        <w:pStyle w:val="112"/>
        <w:spacing w:before="156" w:after="156"/>
      </w:pPr>
      <w:r>
        <w:rPr>
          <w:rFonts w:hint="eastAsia"/>
        </w:rPr>
        <w:t>感官要求</w:t>
      </w:r>
    </w:p>
    <w:tbl>
      <w:tblPr>
        <w:tblStyle w:val="27"/>
        <w:tblW w:w="0" w:type="auto"/>
        <w:tblInd w:w="1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0"/>
        <w:gridCol w:w="2608"/>
        <w:gridCol w:w="2608"/>
        <w:gridCol w:w="25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6" w:hRule="atLeast"/>
        </w:trPr>
        <w:tc>
          <w:tcPr>
            <w:tcW w:w="1560" w:type="dxa"/>
            <w:vMerge w:val="restart"/>
            <w:tcBorders>
              <w:top w:val="single" w:color="000000" w:sz="8" w:space="0"/>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项    目</w:t>
            </w:r>
          </w:p>
        </w:tc>
        <w:tc>
          <w:tcPr>
            <w:tcW w:w="7765" w:type="dxa"/>
            <w:gridSpan w:val="3"/>
            <w:tcBorders>
              <w:top w:val="single" w:color="000000" w:sz="8" w:space="0"/>
              <w:left w:val="single" w:color="000000" w:sz="4" w:space="0"/>
              <w:bottom w:val="single" w:color="auto" w:sz="4"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指    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 w:hRule="atLeast"/>
        </w:trPr>
        <w:tc>
          <w:tcPr>
            <w:tcW w:w="1560"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djustRightInd/>
              <w:spacing w:line="240" w:lineRule="auto"/>
              <w:jc w:val="left"/>
              <w:rPr>
                <w:rFonts w:ascii="宋体" w:hAnsi="宋体"/>
                <w:kern w:val="0"/>
                <w:sz w:val="18"/>
                <w:szCs w:val="18"/>
              </w:rPr>
            </w:pPr>
          </w:p>
        </w:tc>
        <w:tc>
          <w:tcPr>
            <w:tcW w:w="2608" w:type="dxa"/>
            <w:tcBorders>
              <w:top w:val="single" w:color="auto" w:sz="4" w:space="0"/>
              <w:left w:val="single" w:color="000000" w:sz="4" w:space="0"/>
              <w:bottom w:val="single" w:color="000000" w:sz="4" w:space="0"/>
              <w:right w:val="single" w:color="auto"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一级</w:t>
            </w:r>
          </w:p>
        </w:tc>
        <w:tc>
          <w:tcPr>
            <w:tcW w:w="2608" w:type="dxa"/>
            <w:tcBorders>
              <w:top w:val="single" w:color="auto" w:sz="4" w:space="0"/>
              <w:left w:val="nil"/>
              <w:bottom w:val="single" w:color="000000" w:sz="4" w:space="0"/>
              <w:right w:val="single" w:color="auto"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二级</w:t>
            </w:r>
          </w:p>
        </w:tc>
        <w:tc>
          <w:tcPr>
            <w:tcW w:w="2549" w:type="dxa"/>
            <w:tcBorders>
              <w:top w:val="single" w:color="auto" w:sz="4" w:space="0"/>
              <w:left w:val="nil"/>
              <w:bottom w:val="single" w:color="000000" w:sz="4"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形态</w:t>
            </w:r>
          </w:p>
        </w:tc>
        <w:tc>
          <w:tcPr>
            <w:tcW w:w="2608"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autoSpaceDE w:val="0"/>
              <w:spacing w:before="100" w:beforeAutospacing="1" w:after="100" w:afterAutospacing="1" w:line="280" w:lineRule="exact"/>
              <w:jc w:val="center"/>
              <w:rPr>
                <w:rFonts w:ascii="宋体" w:hAnsi="宋体"/>
                <w:kern w:val="0"/>
                <w:sz w:val="18"/>
                <w:szCs w:val="18"/>
              </w:rPr>
            </w:pPr>
            <w:r>
              <w:rPr>
                <w:rFonts w:hint="eastAsia" w:ascii="宋体" w:hAnsi="宋体"/>
                <w:kern w:val="0"/>
                <w:sz w:val="18"/>
                <w:szCs w:val="18"/>
              </w:rPr>
              <w:t>耳片完整均匀，耳瓣舒展或自然卷曲</w:t>
            </w:r>
          </w:p>
        </w:tc>
        <w:tc>
          <w:tcPr>
            <w:tcW w:w="2608" w:type="dxa"/>
            <w:tcBorders>
              <w:top w:val="single" w:color="000000" w:sz="4" w:space="0"/>
              <w:left w:val="nil"/>
              <w:bottom w:val="single" w:color="000000" w:sz="4" w:space="0"/>
              <w:right w:val="single" w:color="auto" w:sz="4" w:space="0"/>
            </w:tcBorders>
            <w:shd w:val="clear" w:color="auto" w:fill="auto"/>
            <w:vAlign w:val="center"/>
          </w:tcPr>
          <w:p>
            <w:pPr>
              <w:widowControl/>
              <w:autoSpaceDE w:val="0"/>
              <w:spacing w:before="100" w:beforeAutospacing="1" w:after="100" w:afterAutospacing="1" w:line="280" w:lineRule="exact"/>
              <w:jc w:val="center"/>
              <w:rPr>
                <w:rFonts w:ascii="宋体" w:hAnsi="宋体"/>
                <w:kern w:val="0"/>
                <w:sz w:val="18"/>
                <w:szCs w:val="18"/>
              </w:rPr>
            </w:pPr>
            <w:r>
              <w:rPr>
                <w:rFonts w:hint="eastAsia" w:ascii="宋体" w:hAnsi="宋体"/>
                <w:kern w:val="0"/>
                <w:sz w:val="18"/>
                <w:szCs w:val="18"/>
              </w:rPr>
              <w:t>耳片较完整均匀，耳瓣自然卷曲</w:t>
            </w:r>
          </w:p>
        </w:tc>
        <w:tc>
          <w:tcPr>
            <w:tcW w:w="2549" w:type="dxa"/>
            <w:tcBorders>
              <w:top w:val="single" w:color="000000" w:sz="4" w:space="0"/>
              <w:left w:val="nil"/>
              <w:bottom w:val="single" w:color="000000" w:sz="4" w:space="0"/>
              <w:right w:val="single" w:color="000000" w:sz="8" w:space="0"/>
            </w:tcBorders>
            <w:shd w:val="clear" w:color="auto" w:fill="auto"/>
            <w:vAlign w:val="center"/>
          </w:tcPr>
          <w:p>
            <w:pPr>
              <w:widowControl/>
              <w:autoSpaceDE w:val="0"/>
              <w:spacing w:before="100" w:beforeAutospacing="1" w:after="100" w:afterAutospacing="1" w:line="280" w:lineRule="exact"/>
              <w:jc w:val="center"/>
              <w:rPr>
                <w:rFonts w:ascii="宋体" w:hAnsi="宋体"/>
                <w:kern w:val="0"/>
                <w:sz w:val="18"/>
                <w:szCs w:val="18"/>
              </w:rPr>
            </w:pPr>
            <w:r>
              <w:rPr>
                <w:rFonts w:hint="eastAsia" w:ascii="宋体" w:hAnsi="宋体"/>
                <w:kern w:val="0"/>
                <w:sz w:val="18"/>
                <w:szCs w:val="18"/>
              </w:rPr>
              <w:t>耳片较完整均匀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色泽</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line="280" w:lineRule="exact"/>
              <w:jc w:val="center"/>
              <w:rPr>
                <w:rFonts w:ascii="宋体" w:hAnsi="宋体"/>
                <w:kern w:val="0"/>
                <w:sz w:val="18"/>
                <w:szCs w:val="18"/>
              </w:rPr>
            </w:pPr>
            <w:r>
              <w:rPr>
                <w:rFonts w:hint="eastAsia" w:ascii="宋体" w:hAnsi="宋体"/>
                <w:kern w:val="0"/>
                <w:sz w:val="18"/>
                <w:szCs w:val="18"/>
              </w:rPr>
              <w:t>耳正面纯黑褐色，有光泽，耳背面略呈灰白色，正背面分明</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line="280" w:lineRule="exact"/>
              <w:jc w:val="center"/>
              <w:rPr>
                <w:rFonts w:ascii="宋体" w:hAnsi="宋体"/>
                <w:kern w:val="0"/>
                <w:sz w:val="18"/>
                <w:szCs w:val="18"/>
              </w:rPr>
            </w:pPr>
            <w:r>
              <w:rPr>
                <w:rFonts w:hint="eastAsia" w:ascii="宋体" w:hAnsi="宋体"/>
                <w:kern w:val="0"/>
                <w:sz w:val="18"/>
                <w:szCs w:val="18"/>
              </w:rPr>
              <w:t>耳正面黑褐色，耳背面灰色</w:t>
            </w:r>
          </w:p>
        </w:tc>
        <w:tc>
          <w:tcPr>
            <w:tcW w:w="2549" w:type="dxa"/>
            <w:tcBorders>
              <w:top w:val="single" w:color="000000" w:sz="4" w:space="0"/>
              <w:left w:val="single" w:color="000000" w:sz="4" w:space="0"/>
              <w:bottom w:val="single" w:color="000000" w:sz="4" w:space="0"/>
              <w:right w:val="single" w:color="000000" w:sz="8" w:space="0"/>
            </w:tcBorders>
            <w:shd w:val="clear" w:color="auto" w:fill="auto"/>
            <w:vAlign w:val="center"/>
          </w:tcPr>
          <w:p>
            <w:pPr>
              <w:widowControl/>
              <w:autoSpaceDE w:val="0"/>
              <w:spacing w:before="100" w:beforeAutospacing="1" w:after="100" w:afterAutospacing="1" w:line="280" w:lineRule="exact"/>
              <w:jc w:val="center"/>
              <w:rPr>
                <w:rFonts w:ascii="宋体" w:hAnsi="宋体"/>
                <w:kern w:val="0"/>
                <w:sz w:val="18"/>
                <w:szCs w:val="18"/>
              </w:rPr>
            </w:pPr>
            <w:r>
              <w:rPr>
                <w:rFonts w:hint="eastAsia" w:ascii="宋体" w:hAnsi="宋体"/>
                <w:kern w:val="0"/>
                <w:sz w:val="18"/>
                <w:szCs w:val="18"/>
              </w:rPr>
              <w:t>耳片灰色或浅棕色至褐色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气味</w:t>
            </w:r>
          </w:p>
        </w:tc>
        <w:tc>
          <w:tcPr>
            <w:tcW w:w="7765" w:type="dxa"/>
            <w:gridSpan w:val="3"/>
            <w:tcBorders>
              <w:top w:val="single" w:color="000000" w:sz="4" w:space="0"/>
              <w:left w:val="single" w:color="000000" w:sz="4" w:space="0"/>
              <w:bottom w:val="single" w:color="000000" w:sz="4"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具有黑木耳应有的气味，无异味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霉烂耳</w:t>
            </w:r>
          </w:p>
        </w:tc>
        <w:tc>
          <w:tcPr>
            <w:tcW w:w="7765" w:type="dxa"/>
            <w:gridSpan w:val="3"/>
            <w:tcBorders>
              <w:top w:val="single" w:color="000000" w:sz="4" w:space="0"/>
              <w:left w:val="single" w:color="000000" w:sz="4" w:space="0"/>
              <w:bottom w:val="single" w:color="000000" w:sz="4"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60" w:type="dxa"/>
            <w:tcBorders>
              <w:top w:val="single" w:color="000000" w:sz="4" w:space="0"/>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虫蛀耳</w:t>
            </w:r>
          </w:p>
        </w:tc>
        <w:tc>
          <w:tcPr>
            <w:tcW w:w="7765" w:type="dxa"/>
            <w:gridSpan w:val="3"/>
            <w:tcBorders>
              <w:top w:val="single" w:color="000000" w:sz="4" w:space="0"/>
              <w:left w:val="single" w:color="000000" w:sz="4" w:space="0"/>
              <w:bottom w:val="single" w:color="000000" w:sz="4"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trPr>
        <w:tc>
          <w:tcPr>
            <w:tcW w:w="1560" w:type="dxa"/>
            <w:vMerge w:val="restart"/>
            <w:tcBorders>
              <w:top w:val="nil"/>
              <w:left w:val="single" w:color="000000" w:sz="8" w:space="0"/>
              <w:bottom w:val="single" w:color="000000"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杂质/%</w:t>
            </w:r>
          </w:p>
        </w:tc>
        <w:tc>
          <w:tcPr>
            <w:tcW w:w="260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≤0.3</w:t>
            </w:r>
          </w:p>
        </w:tc>
        <w:tc>
          <w:tcPr>
            <w:tcW w:w="260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≤0.5</w:t>
            </w:r>
          </w:p>
        </w:tc>
        <w:tc>
          <w:tcPr>
            <w:tcW w:w="2549" w:type="dxa"/>
            <w:tcBorders>
              <w:top w:val="single" w:color="000000" w:sz="4" w:space="0"/>
              <w:left w:val="single" w:color="000000" w:sz="4" w:space="0"/>
              <w:bottom w:val="single" w:color="auto" w:sz="4"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 w:hRule="atLeast"/>
        </w:trPr>
        <w:tc>
          <w:tcPr>
            <w:tcW w:w="1560" w:type="dxa"/>
            <w:vMerge w:val="continue"/>
            <w:tcBorders>
              <w:top w:val="nil"/>
              <w:left w:val="single" w:color="000000" w:sz="8" w:space="0"/>
              <w:bottom w:val="single" w:color="000000" w:sz="8" w:space="0"/>
              <w:right w:val="single" w:color="000000" w:sz="4" w:space="0"/>
            </w:tcBorders>
            <w:shd w:val="clear" w:color="auto" w:fill="auto"/>
            <w:vAlign w:val="center"/>
          </w:tcPr>
          <w:p>
            <w:pPr>
              <w:widowControl/>
              <w:adjustRightInd/>
              <w:spacing w:line="240" w:lineRule="auto"/>
              <w:jc w:val="left"/>
              <w:rPr>
                <w:rFonts w:ascii="宋体" w:hAnsi="宋体"/>
                <w:kern w:val="0"/>
                <w:sz w:val="18"/>
                <w:szCs w:val="18"/>
              </w:rPr>
            </w:pPr>
          </w:p>
        </w:tc>
        <w:tc>
          <w:tcPr>
            <w:tcW w:w="7765" w:type="dxa"/>
            <w:gridSpan w:val="3"/>
            <w:tcBorders>
              <w:top w:val="single" w:color="auto" w:sz="4" w:space="0"/>
              <w:left w:val="single" w:color="000000" w:sz="4" w:space="0"/>
              <w:bottom w:val="single" w:color="000000" w:sz="8" w:space="0"/>
              <w:right w:val="single" w:color="000000" w:sz="8" w:space="0"/>
            </w:tcBorders>
            <w:shd w:val="clear" w:color="auto" w:fill="auto"/>
            <w:vAlign w:val="center"/>
          </w:tcPr>
          <w:p>
            <w:pPr>
              <w:widowControl/>
              <w:autoSpaceDE w:val="0"/>
              <w:spacing w:before="100" w:beforeAutospacing="1" w:after="100" w:afterAutospacing="1"/>
              <w:jc w:val="center"/>
              <w:rPr>
                <w:rFonts w:ascii="宋体" w:hAnsi="宋体"/>
                <w:kern w:val="0"/>
                <w:sz w:val="18"/>
                <w:szCs w:val="18"/>
              </w:rPr>
            </w:pPr>
            <w:r>
              <w:rPr>
                <w:rFonts w:hint="eastAsia" w:ascii="宋体" w:hAnsi="宋体"/>
                <w:kern w:val="0"/>
                <w:sz w:val="18"/>
                <w:szCs w:val="18"/>
              </w:rPr>
              <w:t>不应出现毛发、金属碎屑、玻璃</w:t>
            </w:r>
          </w:p>
        </w:tc>
      </w:tr>
    </w:tbl>
    <w:p>
      <w:pPr>
        <w:pStyle w:val="105"/>
        <w:spacing w:before="156" w:after="156"/>
        <w:rPr>
          <w:szCs w:val="21"/>
        </w:rPr>
      </w:pPr>
      <w:bookmarkStart w:id="70" w:name="_Toc152158576"/>
      <w:bookmarkStart w:id="71" w:name="_Toc152059321"/>
      <w:bookmarkStart w:id="72" w:name="_Toc152159077"/>
      <w:bookmarkStart w:id="73" w:name="_Toc149828067"/>
      <w:bookmarkStart w:id="74" w:name="_Toc152140163"/>
      <w:r>
        <w:rPr>
          <w:rFonts w:hint="eastAsia"/>
        </w:rPr>
        <w:t>品质指标</w:t>
      </w:r>
      <w:bookmarkEnd w:id="70"/>
      <w:bookmarkEnd w:id="71"/>
      <w:bookmarkEnd w:id="72"/>
      <w:bookmarkEnd w:id="73"/>
      <w:bookmarkEnd w:id="74"/>
    </w:p>
    <w:p>
      <w:pPr>
        <w:pStyle w:val="56"/>
        <w:ind w:firstLine="420"/>
        <w:rPr>
          <w:rFonts w:hAnsi="宋体"/>
        </w:rPr>
      </w:pPr>
      <w:r>
        <w:rPr>
          <w:rFonts w:hint="eastAsia" w:hAnsi="宋体"/>
        </w:rPr>
        <w:t>应符合表2的规定。</w:t>
      </w:r>
    </w:p>
    <w:p>
      <w:pPr>
        <w:widowControl/>
        <w:adjustRightInd/>
        <w:spacing w:line="240" w:lineRule="auto"/>
        <w:jc w:val="left"/>
        <w:rPr>
          <w:rFonts w:ascii="宋体" w:hAnsi="宋体"/>
          <w:kern w:val="0"/>
          <w:szCs w:val="20"/>
        </w:rPr>
      </w:pPr>
      <w:r>
        <w:rPr>
          <w:rFonts w:hAnsi="宋体"/>
        </w:rPr>
        <w:br w:type="page"/>
      </w:r>
    </w:p>
    <w:p>
      <w:pPr>
        <w:pStyle w:val="112"/>
        <w:spacing w:before="156" w:after="156"/>
      </w:pPr>
      <w:r>
        <w:rPr>
          <w:rFonts w:hint="eastAsia"/>
        </w:rPr>
        <w:t>理化要求</w:t>
      </w:r>
    </w:p>
    <w:tbl>
      <w:tblPr>
        <w:tblStyle w:val="27"/>
        <w:tblW w:w="93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2268"/>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2542" w:type="dxa"/>
            <w:vMerge w:val="restart"/>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项    目</w:t>
            </w:r>
          </w:p>
        </w:tc>
        <w:tc>
          <w:tcPr>
            <w:tcW w:w="6804" w:type="dxa"/>
            <w:gridSpan w:val="3"/>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jc w:val="center"/>
        </w:trPr>
        <w:tc>
          <w:tcPr>
            <w:tcW w:w="25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spacing w:line="240" w:lineRule="auto"/>
              <w:jc w:val="left"/>
              <w:rPr>
                <w:rFonts w:ascii="宋体"/>
                <w:kern w:val="0"/>
                <w:sz w:val="18"/>
                <w:szCs w:val="18"/>
              </w:rPr>
            </w:pPr>
          </w:p>
        </w:tc>
        <w:tc>
          <w:tcPr>
            <w:tcW w:w="2268" w:type="dxa"/>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一级</w:t>
            </w:r>
          </w:p>
        </w:tc>
        <w:tc>
          <w:tcPr>
            <w:tcW w:w="2268" w:type="dxa"/>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二级</w:t>
            </w:r>
          </w:p>
        </w:tc>
        <w:tc>
          <w:tcPr>
            <w:tcW w:w="2268" w:type="dxa"/>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干湿比</w:t>
            </w:r>
          </w:p>
        </w:tc>
        <w:tc>
          <w:tcPr>
            <w:tcW w:w="6804" w:type="dxa"/>
            <w:gridSpan w:val="3"/>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360"/>
              <w:jc w:val="center"/>
              <w:rPr>
                <w:sz w:val="18"/>
                <w:szCs w:val="18"/>
              </w:rPr>
            </w:pPr>
            <w:r>
              <w:rPr>
                <w:rFonts w:hint="eastAsia" w:hAnsi="宋体"/>
                <w:sz w:val="18"/>
                <w:szCs w:val="18"/>
              </w:rPr>
              <w:t>1:9以上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水分/%</w:t>
            </w:r>
          </w:p>
        </w:tc>
        <w:tc>
          <w:tcPr>
            <w:tcW w:w="6804" w:type="dxa"/>
            <w:gridSpan w:val="3"/>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360"/>
              <w:jc w:val="center"/>
              <w:rPr>
                <w:sz w:val="18"/>
                <w:szCs w:val="18"/>
              </w:rPr>
            </w:pPr>
            <w:r>
              <w:rPr>
                <w:rFonts w:hint="eastAsia" w:hAnsi="宋体"/>
                <w:sz w:val="18"/>
                <w:szCs w:val="18"/>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0" w:firstLineChars="0"/>
              <w:jc w:val="center"/>
              <w:rPr>
                <w:sz w:val="18"/>
                <w:szCs w:val="18"/>
              </w:rPr>
            </w:pPr>
            <w:r>
              <w:rPr>
                <w:rFonts w:hint="eastAsia" w:hAnsi="宋体"/>
                <w:sz w:val="18"/>
                <w:szCs w:val="18"/>
              </w:rPr>
              <w:t>灰分（以干物质计）/%</w:t>
            </w:r>
          </w:p>
        </w:tc>
        <w:tc>
          <w:tcPr>
            <w:tcW w:w="6804" w:type="dxa"/>
            <w:gridSpan w:val="3"/>
            <w:tcBorders>
              <w:top w:val="single" w:color="auto" w:sz="4" w:space="0"/>
              <w:left w:val="single" w:color="auto" w:sz="4" w:space="0"/>
              <w:bottom w:val="single" w:color="auto" w:sz="4" w:space="0"/>
              <w:right w:val="single" w:color="auto" w:sz="4" w:space="0"/>
            </w:tcBorders>
            <w:vAlign w:val="center"/>
          </w:tcPr>
          <w:p>
            <w:pPr>
              <w:pStyle w:val="230"/>
              <w:spacing w:line="400" w:lineRule="exact"/>
              <w:ind w:firstLine="360"/>
              <w:jc w:val="center"/>
              <w:rPr>
                <w:sz w:val="18"/>
                <w:szCs w:val="18"/>
              </w:rPr>
            </w:pPr>
            <w:r>
              <w:rPr>
                <w:rFonts w:hint="eastAsia" w:hAnsi="宋体"/>
                <w:sz w:val="18"/>
                <w:szCs w:val="18"/>
              </w:rPr>
              <w:t>≤6.0</w:t>
            </w:r>
          </w:p>
        </w:tc>
      </w:tr>
    </w:tbl>
    <w:p>
      <w:pPr>
        <w:pStyle w:val="105"/>
        <w:spacing w:before="156" w:after="156"/>
      </w:pPr>
      <w:bookmarkStart w:id="75" w:name="_Toc152159078"/>
      <w:bookmarkStart w:id="76" w:name="_Toc152059322"/>
      <w:bookmarkStart w:id="77" w:name="_Toc152158577"/>
      <w:bookmarkStart w:id="78" w:name="_Toc152140164"/>
      <w:bookmarkStart w:id="79" w:name="_Toc149828068"/>
      <w:r>
        <w:rPr>
          <w:rFonts w:hint="eastAsia"/>
        </w:rPr>
        <w:t>卫生指标</w:t>
      </w:r>
      <w:bookmarkEnd w:id="75"/>
      <w:bookmarkEnd w:id="76"/>
      <w:bookmarkEnd w:id="77"/>
      <w:bookmarkEnd w:id="78"/>
      <w:bookmarkEnd w:id="79"/>
    </w:p>
    <w:p>
      <w:pPr>
        <w:pStyle w:val="56"/>
        <w:ind w:firstLine="420"/>
      </w:pPr>
      <w:r>
        <w:rPr>
          <w:rFonts w:hint="eastAsia"/>
        </w:rPr>
        <w:t>污染物限量应符合GB 2762的规定；农药最大残留限量应符合GB 2763的规定。</w:t>
      </w:r>
    </w:p>
    <w:p>
      <w:pPr>
        <w:pStyle w:val="104"/>
        <w:spacing w:before="312" w:after="312"/>
      </w:pPr>
      <w:bookmarkStart w:id="80" w:name="_Toc152159079"/>
      <w:bookmarkStart w:id="81" w:name="_Toc152059323"/>
      <w:bookmarkStart w:id="82" w:name="_Toc149828069"/>
      <w:bookmarkStart w:id="83" w:name="_Toc152140165"/>
      <w:bookmarkStart w:id="84" w:name="_Toc152158578"/>
      <w:r>
        <w:rPr>
          <w:rFonts w:hint="eastAsia"/>
        </w:rPr>
        <w:t>检验方法</w:t>
      </w:r>
      <w:bookmarkEnd w:id="80"/>
      <w:bookmarkEnd w:id="81"/>
      <w:bookmarkEnd w:id="82"/>
      <w:bookmarkEnd w:id="83"/>
      <w:bookmarkEnd w:id="84"/>
    </w:p>
    <w:p>
      <w:pPr>
        <w:pStyle w:val="105"/>
        <w:spacing w:before="156" w:after="156"/>
      </w:pPr>
      <w:bookmarkStart w:id="85" w:name="_Toc152159080"/>
      <w:bookmarkStart w:id="86" w:name="_Toc152059324"/>
      <w:bookmarkStart w:id="87" w:name="_Toc152158579"/>
      <w:bookmarkStart w:id="88" w:name="_Toc149828070"/>
      <w:bookmarkStart w:id="89" w:name="_Toc152140166"/>
      <w:r>
        <w:rPr>
          <w:rFonts w:hint="eastAsia"/>
        </w:rPr>
        <w:t>感官检验</w:t>
      </w:r>
      <w:bookmarkEnd w:id="85"/>
      <w:bookmarkEnd w:id="86"/>
      <w:bookmarkEnd w:id="87"/>
      <w:bookmarkEnd w:id="88"/>
      <w:bookmarkEnd w:id="89"/>
    </w:p>
    <w:p>
      <w:pPr>
        <w:pStyle w:val="65"/>
        <w:spacing w:before="156" w:after="156"/>
      </w:pPr>
      <w:r>
        <w:rPr>
          <w:rFonts w:hint="eastAsia"/>
        </w:rPr>
        <w:t>形态、色泽、霉烂耳、虫蛀耳、气味</w:t>
      </w:r>
    </w:p>
    <w:p>
      <w:pPr>
        <w:pStyle w:val="56"/>
        <w:ind w:firstLine="420"/>
      </w:pPr>
      <w:r>
        <w:rPr>
          <w:rFonts w:hint="eastAsia"/>
        </w:rPr>
        <w:t>目测法观察形态、色泽、霉烂耳、虫蛀耳；嗅鼻法检验气味。</w:t>
      </w:r>
    </w:p>
    <w:p>
      <w:pPr>
        <w:pStyle w:val="65"/>
        <w:spacing w:before="156" w:after="156"/>
      </w:pPr>
      <w:r>
        <w:rPr>
          <w:rFonts w:hint="eastAsia"/>
        </w:rPr>
        <w:t>杂质检测</w:t>
      </w:r>
    </w:p>
    <w:p>
      <w:pPr>
        <w:pStyle w:val="56"/>
        <w:ind w:firstLine="420"/>
      </w:pPr>
      <w:r>
        <w:rPr>
          <w:rFonts w:hint="eastAsia"/>
        </w:rPr>
        <w:t>按GB/T 12533规定的方法测定。</w:t>
      </w:r>
    </w:p>
    <w:p>
      <w:pPr>
        <w:pStyle w:val="105"/>
        <w:spacing w:before="156" w:after="156"/>
      </w:pPr>
      <w:bookmarkStart w:id="90" w:name="_Toc152158580"/>
      <w:bookmarkStart w:id="91" w:name="_Toc152159081"/>
      <w:bookmarkStart w:id="92" w:name="_Toc152059325"/>
      <w:bookmarkStart w:id="93" w:name="_Toc152140167"/>
      <w:bookmarkStart w:id="94" w:name="_Toc149828071"/>
      <w:r>
        <w:rPr>
          <w:rFonts w:hint="eastAsia"/>
        </w:rPr>
        <w:t>理化指标检测</w:t>
      </w:r>
      <w:bookmarkEnd w:id="90"/>
      <w:bookmarkEnd w:id="91"/>
      <w:bookmarkEnd w:id="92"/>
      <w:bookmarkEnd w:id="93"/>
      <w:bookmarkEnd w:id="94"/>
    </w:p>
    <w:p>
      <w:pPr>
        <w:pStyle w:val="65"/>
        <w:spacing w:before="156" w:after="156"/>
      </w:pPr>
      <w:r>
        <w:rPr>
          <w:rFonts w:hint="eastAsia"/>
        </w:rPr>
        <w:t>干湿比</w:t>
      </w:r>
    </w:p>
    <w:p>
      <w:pPr>
        <w:pStyle w:val="56"/>
        <w:ind w:firstLine="420"/>
      </w:pPr>
      <w:r>
        <w:rPr>
          <w:rFonts w:hint="eastAsia"/>
        </w:rPr>
        <w:t>称取样品10.0 g(精确至±0.1 g)在18℃～25℃室内,放入水中浸泡6 h～8 h，取出用小型甩干桶转速80 r/min～100 r/min，甩30 s后称量。</w:t>
      </w:r>
    </w:p>
    <w:p>
      <w:pPr>
        <w:pStyle w:val="65"/>
        <w:spacing w:before="156" w:after="156"/>
      </w:pPr>
      <w:r>
        <w:rPr>
          <w:rFonts w:hint="eastAsia"/>
        </w:rPr>
        <w:t>水分</w:t>
      </w:r>
    </w:p>
    <w:p>
      <w:pPr>
        <w:pStyle w:val="56"/>
        <w:ind w:firstLine="420"/>
      </w:pPr>
      <w:r>
        <w:rPr>
          <w:rFonts w:hint="eastAsia"/>
        </w:rPr>
        <w:t>按GB 5009.3规定的方法测定。</w:t>
      </w:r>
    </w:p>
    <w:p>
      <w:pPr>
        <w:pStyle w:val="65"/>
        <w:spacing w:before="156" w:after="156"/>
      </w:pPr>
      <w:r>
        <w:rPr>
          <w:rFonts w:hint="eastAsia"/>
        </w:rPr>
        <w:t>灰分</w:t>
      </w:r>
    </w:p>
    <w:p>
      <w:pPr>
        <w:pStyle w:val="56"/>
        <w:ind w:firstLine="420"/>
      </w:pPr>
      <w:r>
        <w:rPr>
          <w:rFonts w:hint="eastAsia"/>
        </w:rPr>
        <w:t>按GB 5009.4规定的方法测定。</w:t>
      </w:r>
    </w:p>
    <w:p>
      <w:pPr>
        <w:pStyle w:val="104"/>
        <w:spacing w:before="312" w:after="312"/>
      </w:pPr>
      <w:bookmarkStart w:id="95" w:name="_Toc152159082"/>
      <w:bookmarkStart w:id="96" w:name="_Toc152158581"/>
      <w:bookmarkStart w:id="97" w:name="_Toc152059326"/>
      <w:bookmarkStart w:id="98" w:name="_Toc149828072"/>
      <w:bookmarkStart w:id="99" w:name="_Toc152140168"/>
      <w:r>
        <w:rPr>
          <w:rFonts w:hint="eastAsia"/>
        </w:rPr>
        <w:t>标签、标识</w:t>
      </w:r>
      <w:bookmarkEnd w:id="95"/>
      <w:bookmarkEnd w:id="96"/>
      <w:bookmarkEnd w:id="97"/>
      <w:bookmarkEnd w:id="98"/>
      <w:bookmarkEnd w:id="99"/>
    </w:p>
    <w:p>
      <w:pPr>
        <w:pStyle w:val="162"/>
      </w:pPr>
      <w:bookmarkStart w:id="100" w:name="_Toc149828073"/>
      <w:r>
        <w:rPr>
          <w:rFonts w:hint="eastAsia"/>
        </w:rPr>
        <w:t>储运图示应符合GB/T 191的规定。</w:t>
      </w:r>
      <w:bookmarkEnd w:id="100"/>
    </w:p>
    <w:p>
      <w:pPr>
        <w:pStyle w:val="162"/>
      </w:pPr>
      <w:bookmarkStart w:id="101" w:name="_Toc149828074"/>
      <w:r>
        <w:rPr>
          <w:rFonts w:hint="eastAsia"/>
        </w:rPr>
        <w:t>标签应符合GB 7718的规定。</w:t>
      </w:r>
      <w:bookmarkEnd w:id="101"/>
    </w:p>
    <w:p>
      <w:pPr>
        <w:pStyle w:val="162"/>
      </w:pPr>
      <w:r>
        <w:rPr>
          <w:rFonts w:hint="eastAsia"/>
        </w:rPr>
        <w:t>获得授权使用“大村黑木耳”地理标志的黑木耳生产单位，方可使用带有农产品地理标志公共标识和“大村黑木耳”字样的包装。农产品地理标志使用档案应当保存5 y。</w:t>
      </w:r>
    </w:p>
    <w:p>
      <w:pPr>
        <w:pStyle w:val="104"/>
        <w:spacing w:before="312" w:after="312"/>
      </w:pPr>
      <w:bookmarkStart w:id="102" w:name="_Toc152140169"/>
      <w:bookmarkStart w:id="103" w:name="_Toc152158582"/>
      <w:bookmarkStart w:id="104" w:name="_Toc152059327"/>
      <w:bookmarkStart w:id="105" w:name="_Toc149828075"/>
      <w:bookmarkStart w:id="106" w:name="_Toc152159083"/>
      <w:r>
        <w:rPr>
          <w:rFonts w:hint="eastAsia"/>
        </w:rPr>
        <w:t>包装</w:t>
      </w:r>
      <w:bookmarkEnd w:id="102"/>
      <w:bookmarkEnd w:id="103"/>
      <w:bookmarkEnd w:id="104"/>
      <w:bookmarkEnd w:id="105"/>
      <w:bookmarkEnd w:id="106"/>
    </w:p>
    <w:p>
      <w:pPr>
        <w:pStyle w:val="56"/>
        <w:ind w:firstLine="420"/>
      </w:pPr>
      <w:r>
        <w:rPr>
          <w:rFonts w:hint="eastAsia"/>
        </w:rPr>
        <w:t>内包装材料应坚固、洁净、干燥、无破损、无异味、无毒、无害，聚乙烯包装袋(盒)应符合GB 4806.7的规定。外包装宜采用瓦楞纸箱或泡沫周转箱。瓦楞纸箱应符合GB/T 6543的要求，泡沫周转箱应具有防湿、耐压功能。</w:t>
      </w:r>
    </w:p>
    <w:p>
      <w:pPr>
        <w:pStyle w:val="104"/>
        <w:spacing w:before="312" w:after="312"/>
      </w:pPr>
      <w:bookmarkStart w:id="107" w:name="_Toc152059328"/>
      <w:bookmarkStart w:id="108" w:name="_Toc152158583"/>
      <w:bookmarkStart w:id="109" w:name="_Toc149828076"/>
      <w:bookmarkStart w:id="110" w:name="_Toc152140170"/>
      <w:bookmarkStart w:id="111" w:name="_Toc152159084"/>
      <w:r>
        <w:rPr>
          <w:rFonts w:hint="eastAsia"/>
        </w:rPr>
        <w:t>运输</w:t>
      </w:r>
      <w:bookmarkEnd w:id="107"/>
      <w:bookmarkEnd w:id="108"/>
      <w:bookmarkEnd w:id="109"/>
      <w:bookmarkEnd w:id="110"/>
      <w:bookmarkEnd w:id="111"/>
    </w:p>
    <w:p>
      <w:pPr>
        <w:pStyle w:val="162"/>
      </w:pPr>
      <w:r>
        <w:rPr>
          <w:rFonts w:hint="eastAsia"/>
        </w:rPr>
        <w:t>运输工具应清洁、卫生、无污染物、无杂物；运输时应轻装、轻卸、防重压，避免机械损伤。</w:t>
      </w:r>
    </w:p>
    <w:p>
      <w:pPr>
        <w:pStyle w:val="162"/>
      </w:pPr>
      <w:r>
        <w:rPr>
          <w:rFonts w:hint="eastAsia"/>
        </w:rPr>
        <w:t>防日晒、防雨淋、不可裸露运输；不得与有毒、有害有异味的物品和鲜活动物混装混运。</w:t>
      </w:r>
    </w:p>
    <w:p>
      <w:pPr>
        <w:pStyle w:val="104"/>
        <w:spacing w:before="312" w:after="312"/>
      </w:pPr>
      <w:bookmarkStart w:id="112" w:name="_Toc152158584"/>
      <w:bookmarkStart w:id="113" w:name="_Toc149828077"/>
      <w:bookmarkStart w:id="114" w:name="_Toc152059329"/>
      <w:bookmarkStart w:id="115" w:name="_Toc152140171"/>
      <w:bookmarkStart w:id="116" w:name="_Toc152159085"/>
      <w:r>
        <w:rPr>
          <w:rFonts w:hint="eastAsia"/>
        </w:rPr>
        <w:t>贮存</w:t>
      </w:r>
      <w:bookmarkEnd w:id="112"/>
      <w:bookmarkEnd w:id="113"/>
      <w:bookmarkEnd w:id="114"/>
      <w:bookmarkEnd w:id="115"/>
      <w:bookmarkEnd w:id="116"/>
    </w:p>
    <w:p>
      <w:pPr>
        <w:pStyle w:val="162"/>
      </w:pPr>
      <w:r>
        <w:rPr>
          <w:rFonts w:hint="eastAsia"/>
        </w:rPr>
        <w:t>置于通风良好、阴凉干燥、清洁卫生、有防潮设备及防霉变、虫蛀和防鼠设施的库房贮存。</w:t>
      </w:r>
    </w:p>
    <w:p>
      <w:pPr>
        <w:pStyle w:val="162"/>
      </w:pPr>
      <w:r>
        <w:rPr>
          <w:rFonts w:hint="eastAsia"/>
        </w:rPr>
        <w:t>不应与有毒、有害、有异味和易于传播霉菌、虫害的物品混合存放</w:t>
      </w:r>
    </w:p>
    <w:bookmarkEnd w:id="15"/>
    <w:p>
      <w:pPr>
        <w:pStyle w:val="162"/>
        <w:numPr>
          <w:ilvl w:val="0"/>
          <w:numId w:val="0"/>
        </w:numPr>
      </w:pPr>
      <w:bookmarkStart w:id="117" w:name="BookMark6"/>
    </w:p>
    <w:p>
      <w:pPr>
        <w:pStyle w:val="56"/>
        <w:ind w:firstLine="0" w:firstLineChars="0"/>
      </w:pPr>
    </w:p>
    <w:bookmarkEnd w:id="117"/>
    <w:p>
      <w:pPr>
        <w:pStyle w:val="56"/>
        <w:ind w:firstLine="0" w:firstLineChars="0"/>
        <w:jc w:val="center"/>
      </w:pPr>
      <w:bookmarkStart w:id="118"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3"/>
                    <a:stretch>
                      <a:fillRect/>
                    </a:stretch>
                  </pic:blipFill>
                  <pic:spPr>
                    <a:xfrm>
                      <a:off x="0" y="0"/>
                      <a:ext cx="1485900" cy="317500"/>
                    </a:xfrm>
                    <a:prstGeom prst="rect">
                      <a:avLst/>
                    </a:prstGeom>
                  </pic:spPr>
                </pic:pic>
              </a:graphicData>
            </a:graphic>
          </wp:inline>
        </w:drawing>
      </w:r>
      <w:bookmarkEnd w:id="118"/>
    </w:p>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25.2—2023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25.2—2023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25.2—2023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25.2—2023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25.2—2023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25.2—2023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39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793"/>
    <w:rsid w:val="000303C3"/>
    <w:rsid w:val="000331D3"/>
    <w:rsid w:val="000346A5"/>
    <w:rsid w:val="000359C3"/>
    <w:rsid w:val="00035A7D"/>
    <w:rsid w:val="000365ED"/>
    <w:rsid w:val="00040A74"/>
    <w:rsid w:val="0004249A"/>
    <w:rsid w:val="000425CE"/>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60E"/>
    <w:rsid w:val="00080A1C"/>
    <w:rsid w:val="00082317"/>
    <w:rsid w:val="00083D2C"/>
    <w:rsid w:val="00086AA1"/>
    <w:rsid w:val="00087A77"/>
    <w:rsid w:val="00090CA6"/>
    <w:rsid w:val="00092B8A"/>
    <w:rsid w:val="00092FB0"/>
    <w:rsid w:val="000934C5"/>
    <w:rsid w:val="00093D25"/>
    <w:rsid w:val="00093D76"/>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B4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04F9"/>
    <w:rsid w:val="00281BB8"/>
    <w:rsid w:val="00281E9E"/>
    <w:rsid w:val="00282405"/>
    <w:rsid w:val="00285170"/>
    <w:rsid w:val="00285361"/>
    <w:rsid w:val="00292D60"/>
    <w:rsid w:val="00293B30"/>
    <w:rsid w:val="00294D34"/>
    <w:rsid w:val="00294E3B"/>
    <w:rsid w:val="002953F2"/>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392"/>
    <w:rsid w:val="002B1966"/>
    <w:rsid w:val="002B4508"/>
    <w:rsid w:val="002B5779"/>
    <w:rsid w:val="002B7332"/>
    <w:rsid w:val="002B7F51"/>
    <w:rsid w:val="002C09E7"/>
    <w:rsid w:val="002C1E06"/>
    <w:rsid w:val="002C1E1C"/>
    <w:rsid w:val="002C3392"/>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2BDC"/>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0E48"/>
    <w:rsid w:val="005A11B7"/>
    <w:rsid w:val="005A260B"/>
    <w:rsid w:val="005A4A1B"/>
    <w:rsid w:val="005A7830"/>
    <w:rsid w:val="005A7FCE"/>
    <w:rsid w:val="005B0F3F"/>
    <w:rsid w:val="005B4903"/>
    <w:rsid w:val="005B4B29"/>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5C0"/>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DE2"/>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6FB"/>
    <w:rsid w:val="007A2E12"/>
    <w:rsid w:val="007A3475"/>
    <w:rsid w:val="007A41C8"/>
    <w:rsid w:val="007A54CE"/>
    <w:rsid w:val="007A6FD9"/>
    <w:rsid w:val="007A7FFA"/>
    <w:rsid w:val="007B04EB"/>
    <w:rsid w:val="007B0D4F"/>
    <w:rsid w:val="007B0E6E"/>
    <w:rsid w:val="007B1709"/>
    <w:rsid w:val="007B1A23"/>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9A"/>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135"/>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55D"/>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706"/>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248"/>
    <w:rsid w:val="00C279B2"/>
    <w:rsid w:val="00C33E50"/>
    <w:rsid w:val="00C34C20"/>
    <w:rsid w:val="00C35A3E"/>
    <w:rsid w:val="00C42130"/>
    <w:rsid w:val="00C423A4"/>
    <w:rsid w:val="00C44BF5"/>
    <w:rsid w:val="00C47235"/>
    <w:rsid w:val="00C521D6"/>
    <w:rsid w:val="00C55232"/>
    <w:rsid w:val="00C553A4"/>
    <w:rsid w:val="00C55A06"/>
    <w:rsid w:val="00C55D03"/>
    <w:rsid w:val="00C601BC"/>
    <w:rsid w:val="00C6329F"/>
    <w:rsid w:val="00C63340"/>
    <w:rsid w:val="00C643F9"/>
    <w:rsid w:val="00C64E95"/>
    <w:rsid w:val="00C71372"/>
    <w:rsid w:val="00C72410"/>
    <w:rsid w:val="00C7287F"/>
    <w:rsid w:val="00C736A4"/>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0A7"/>
    <w:rsid w:val="00E06404"/>
    <w:rsid w:val="00E065D2"/>
    <w:rsid w:val="00E06FF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7D4"/>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6C8"/>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3FE4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uiPriority w:val="0"/>
    <w:rPr>
      <w:rFonts w:ascii="Arial" w:hAnsi="Arial" w:eastAsia="黑体"/>
      <w:b/>
      <w:bCs/>
      <w:kern w:val="2"/>
      <w:sz w:val="28"/>
      <w:szCs w:val="28"/>
    </w:rPr>
  </w:style>
  <w:style w:type="character" w:customStyle="1" w:styleId="38">
    <w:name w:val="标题 5 Char"/>
    <w:link w:val="6"/>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glossaryDocument" Target="glossary/document.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jpeg"/><Relationship Id="rId22" Type="http://schemas.openxmlformats.org/officeDocument/2006/relationships/image" Target="media/image1.tiff"/><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C6F1925B790449296D6110EBAB1B938"/>
        <w:style w:val=""/>
        <w:category>
          <w:name w:val="常规"/>
          <w:gallery w:val="placeholder"/>
        </w:category>
        <w:types>
          <w:type w:val="bbPlcHdr"/>
        </w:types>
        <w:behaviors>
          <w:behavior w:val="content"/>
        </w:behaviors>
        <w:description w:val=""/>
        <w:guid w:val="{CDA2BD49-3559-4892-8D1C-2811D347B9B2}"/>
      </w:docPartPr>
      <w:docPartBody>
        <w:p>
          <w:pPr>
            <w:pStyle w:val="5"/>
          </w:pPr>
          <w:r>
            <w:rPr>
              <w:rStyle w:val="4"/>
              <w:rFonts w:hint="eastAsia"/>
            </w:rPr>
            <w:t>单击或点击此处输入文字。</w:t>
          </w:r>
        </w:p>
      </w:docPartBody>
    </w:docPart>
    <w:docPart>
      <w:docPartPr>
        <w:name w:val="2AAD40CA0359422EBF569C35E34D47C5"/>
        <w:style w:val=""/>
        <w:category>
          <w:name w:val="常规"/>
          <w:gallery w:val="placeholder"/>
        </w:category>
        <w:types>
          <w:type w:val="bbPlcHdr"/>
        </w:types>
        <w:behaviors>
          <w:behavior w:val="content"/>
        </w:behaviors>
        <w:description w:val=""/>
        <w:guid w:val="{63EB8FD9-2EFA-4A8A-B0BE-C6DDF75CDD4B}"/>
      </w:docPartPr>
      <w:docPartBody>
        <w:p>
          <w:pPr>
            <w:pStyle w:val="6"/>
          </w:pPr>
          <w:r>
            <w:rPr>
              <w:rStyle w:val="4"/>
              <w:rFonts w:hint="eastAsia"/>
            </w:rPr>
            <w:t>选择一项。</w:t>
          </w:r>
        </w:p>
      </w:docPartBody>
    </w:docPart>
    <w:docPart>
      <w:docPartPr>
        <w:name w:val="2C8AC88D0FEC42F586B8F84CB293CB34"/>
        <w:style w:val=""/>
        <w:category>
          <w:name w:val="常规"/>
          <w:gallery w:val="placeholder"/>
        </w:category>
        <w:types>
          <w:type w:val="bbPlcHdr"/>
        </w:types>
        <w:behaviors>
          <w:behavior w:val="content"/>
        </w:behaviors>
        <w:description w:val=""/>
        <w:guid w:val="{11E4A566-CF75-43B9-AD3E-401882526D9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8D8"/>
    <w:rsid w:val="000D571E"/>
    <w:rsid w:val="000F444B"/>
    <w:rsid w:val="003509AE"/>
    <w:rsid w:val="00846D0F"/>
    <w:rsid w:val="00BF79BB"/>
    <w:rsid w:val="00C51A46"/>
    <w:rsid w:val="00C820AC"/>
    <w:rsid w:val="00D878D8"/>
    <w:rsid w:val="00E47E44"/>
    <w:rsid w:val="00E53B2F"/>
    <w:rsid w:val="00FC7B5F"/>
    <w:rsid w:val="00FD5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9C6F1925B790449296D6110EBAB1B93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AAD40CA0359422EBF569C35E34D47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C8AC88D0FEC42F586B8F84CB293CB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1887963694654AA990219A5D6EC8F64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E4165-B861-4F83-A542-0C688AE87971}">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590</Words>
  <Characters>3363</Characters>
  <Lines>28</Lines>
  <Paragraphs>7</Paragraphs>
  <TotalTime>32</TotalTime>
  <ScaleCrop>false</ScaleCrop>
  <LinksUpToDate>false</LinksUpToDate>
  <CharactersWithSpaces>3946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2023-11-28T02:05:00Z</dcterms:created>
  <dc:creator>吕晓倩</dc:creator>
  <dc:description>&lt;config cover="true" show_menu="true" version="1.0.0" doctype="SDKXY"&gt;_x000d_
&lt;/config&gt;</dc:description>
  <cp:lastModifiedBy>许</cp:lastModifiedBy>
  <cp:lastPrinted>2020-08-30T10:00:00Z</cp:lastPrinted>
  <dcterms:modified xsi:type="dcterms:W3CDTF">2023-12-08T02:47:38Z</dcterms:modified>
  <dc:title>地方标准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2052-11.8.2.12085</vt:lpwstr>
  </property>
  <property fmtid="{D5CDD505-2E9C-101B-9397-08002B2CF9AE}" pid="16" name="ICV">
    <vt:lpwstr>C0BBAF36C99549C5ACDCF75C322DD322</vt:lpwstr>
  </property>
</Properties>
</file>