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65.020.20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0"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w:t>
            </w:r>
            <w:r>
              <w:rPr>
                <w:rFonts w:hint="eastAsia" w:ascii="黑体" w:hAnsi="黑体" w:eastAsia="黑体"/>
                <w:sz w:val="21"/>
                <w:szCs w:val="21"/>
              </w:rPr>
              <w:t xml:space="preserve"> </w:t>
            </w:r>
            <w:r>
              <w:rPr>
                <w:rFonts w:ascii="黑体" w:hAnsi="黑体" w:eastAsia="黑体"/>
                <w:sz w:val="21"/>
                <w:szCs w:val="21"/>
              </w:rPr>
              <w:t>31</w:t>
            </w:r>
            <w:r>
              <w:rPr>
                <w:rFonts w:ascii="黑体" w:hAnsi="黑体" w:eastAsia="黑体"/>
                <w:sz w:val="21"/>
                <w:szCs w:val="21"/>
              </w:rPr>
              <w:fldChar w:fldCharType="end"/>
            </w:r>
            <w:bookmarkEnd w:id="0"/>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49"/>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t>3702</w:t>
            </w:r>
            <w:r>
              <w:fldChar w:fldCharType="end"/>
            </w:r>
            <w:bookmarkEnd w:id="2"/>
          </w:p>
        </w:tc>
      </w:tr>
    </w:tbl>
    <w:p>
      <w:pPr>
        <w:pStyle w:val="50"/>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青岛市</w:t>
      </w:r>
      <w:r>
        <w:rPr>
          <w:rFonts w:hint="eastAsia" w:ascii="黑体" w:hAnsi="黑体" w:eastAsia="黑体"/>
          <w:b w:val="0"/>
          <w:bCs w:val="0"/>
          <w:w w:val="100"/>
          <w:sz w:val="48"/>
          <w:szCs w:val="48"/>
        </w:rPr>
        <w:t>地方标准</w:t>
      </w:r>
    </w:p>
    <w:bookmarkEnd w:id="1"/>
    <w:p>
      <w:pPr>
        <w:pStyle w:val="195"/>
        <w:framePr w:wrap="around"/>
      </w:pPr>
      <w:r>
        <w:t>DB</w:t>
      </w:r>
      <w:r>
        <w:rPr>
          <w:rFonts w:hint="eastAsia"/>
        </w:rPr>
        <w:t>3702/T 26.1—2023</w:t>
      </w:r>
      <w:r>
        <w:t xml:space="preserve"> </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rPr>
          <w:rFonts w:hint="eastAsia"/>
        </w:rPr>
        <w:t>地理标志产品 大村香菇</w:t>
      </w:r>
    </w:p>
    <w:p>
      <w:pPr>
        <w:pStyle w:val="197"/>
        <w:framePr w:h="6974" w:hRule="exact" w:wrap="around" w:x="1419" w:anchorLock="1"/>
      </w:pPr>
      <w:r>
        <w:rPr>
          <w:rFonts w:hint="eastAsia"/>
        </w:rPr>
        <w:t>第1部分：生产技术规程</w:t>
      </w:r>
    </w:p>
    <w:p>
      <w:pPr>
        <w:framePr w:w="9639" w:h="6974" w:hRule="exact" w:wrap="around" w:vAnchor="page" w:hAnchor="page" w:x="1419" w:y="6408" w:anchorLock="1"/>
        <w:ind w:left="-1418"/>
      </w:pPr>
    </w:p>
    <w:p>
      <w:pPr>
        <w:pStyle w:val="125"/>
        <w:framePr w:w="9639" w:h="6974" w:hRule="exact" w:wrap="around" w:vAnchor="page" w:hAnchor="page" w:x="1419" w:y="6408" w:anchorLock="1"/>
        <w:spacing w:before="120" w:after="120"/>
        <w:textAlignment w:val="bottom"/>
        <w:rPr>
          <w:rFonts w:eastAsia="黑体"/>
          <w:b/>
          <w:color w:val="FF0000"/>
          <w:szCs w:val="28"/>
        </w:rPr>
      </w:pPr>
      <w:bookmarkStart w:id="3" w:name="ESTD_NAME"/>
      <w:r>
        <w:rPr>
          <w:rFonts w:eastAsia="黑体"/>
          <w:b/>
          <w:szCs w:val="28"/>
        </w:rPr>
        <w:fldChar w:fldCharType="begin">
          <w:ffData>
            <w:name w:val="ESTD_NAME"/>
            <w:enabled/>
            <w:calcOnExit w:val="0"/>
            <w:textInput>
              <w:default w:val="Product of geographical indication—Dacun auricularia auricular—Part 1: Technical specification for production"/>
            </w:textInput>
          </w:ffData>
        </w:fldChar>
      </w:r>
      <w:r>
        <w:rPr>
          <w:rFonts w:eastAsia="黑体"/>
          <w:b/>
          <w:szCs w:val="28"/>
        </w:rPr>
        <w:instrText xml:space="preserve"> FORMTEXT </w:instrText>
      </w:r>
      <w:r>
        <w:rPr>
          <w:rFonts w:eastAsia="黑体"/>
          <w:b/>
          <w:szCs w:val="28"/>
        </w:rPr>
        <w:fldChar w:fldCharType="separate"/>
      </w:r>
      <w:r>
        <w:rPr>
          <w:rFonts w:eastAsia="黑体"/>
          <w:b/>
          <w:szCs w:val="28"/>
        </w:rPr>
        <w:t>Product of geographical indication—Dacun shiitake mushroom—Part 1: Technical specification for production</w:t>
      </w:r>
      <w:r>
        <w:rPr>
          <w:rFonts w:eastAsia="黑体"/>
          <w:b/>
          <w:szCs w:val="28"/>
        </w:rPr>
        <w:fldChar w:fldCharType="end"/>
      </w:r>
      <w:bookmarkEnd w:id="3"/>
    </w:p>
    <w:p>
      <w:pPr>
        <w:framePr w:w="9639" w:h="6974" w:hRule="exact" w:wrap="around" w:vAnchor="page" w:hAnchor="page" w:x="1419" w:y="6408" w:anchorLock="1"/>
        <w:ind w:left="-1418"/>
      </w:pPr>
    </w:p>
    <w:p>
      <w:pPr>
        <w:framePr w:w="9639" w:h="6974" w:hRule="exact" w:wrap="around" w:vAnchor="page" w:hAnchor="page" w:x="1419" w:y="6408" w:anchorLock="1"/>
        <w:spacing w:line="760" w:lineRule="exact"/>
        <w:ind w:left="-1418"/>
      </w:pPr>
    </w:p>
    <w:p>
      <w:pPr>
        <w:pStyle w:val="193"/>
        <w:framePr w:wrap="around" w:y="14176"/>
      </w:pPr>
      <w:r>
        <w:rPr>
          <w:rFonts w:hint="eastAsia" w:ascii="黑体"/>
        </w:rPr>
        <w:t>2023</w:t>
      </w:r>
      <w:r>
        <w:rPr>
          <w:rFonts w:ascii="黑体"/>
        </w:rPr>
        <w:t>-</w:t>
      </w:r>
      <w:r>
        <w:rPr>
          <w:rFonts w:hint="eastAsia" w:ascii="黑体"/>
        </w:rPr>
        <w:t>1</w:t>
      </w:r>
      <w:r>
        <w:rPr>
          <w:rFonts w:hint="eastAsia" w:ascii="黑体"/>
          <w:lang w:val="en-US" w:eastAsia="zh-CN"/>
        </w:rPr>
        <w:t>2</w:t>
      </w:r>
      <w:r>
        <w:rPr>
          <w:rFonts w:ascii="黑体"/>
        </w:rPr>
        <w:t>-</w:t>
      </w:r>
      <w:r>
        <w:rPr>
          <w:rFonts w:hint="eastAsia" w:ascii="黑体"/>
          <w:lang w:val="en-US" w:eastAsia="zh-CN"/>
        </w:rPr>
        <w:t>8</w:t>
      </w:r>
      <w:r>
        <w:rPr>
          <w:rFonts w:hint="eastAsia"/>
        </w:rPr>
        <w:t>发布</w:t>
      </w:r>
    </w:p>
    <w:p>
      <w:pPr>
        <w:pStyle w:val="194"/>
        <w:framePr w:wrap="around" w:y="14176"/>
      </w:pPr>
      <w:r>
        <w:rPr>
          <w:rFonts w:hint="eastAsia" w:ascii="黑体"/>
        </w:rPr>
        <w:t>202</w:t>
      </w:r>
      <w:r>
        <w:rPr>
          <w:rFonts w:hint="eastAsia" w:ascii="黑体"/>
          <w:lang w:val="en-US" w:eastAsia="zh-CN"/>
        </w:rPr>
        <w:t>4</w:t>
      </w:r>
      <w:r>
        <w:rPr>
          <w:rFonts w:ascii="黑体"/>
        </w:rPr>
        <w:t>-</w:t>
      </w:r>
      <w:r>
        <w:rPr>
          <w:rFonts w:hint="eastAsia" w:ascii="黑体"/>
          <w:lang w:val="en-US" w:eastAsia="zh-CN"/>
        </w:rPr>
        <w:t>1</w:t>
      </w:r>
      <w:r>
        <w:rPr>
          <w:rFonts w:ascii="黑体"/>
        </w:rPr>
        <w:t>-</w:t>
      </w:r>
      <w:bookmarkStart w:id="147" w:name="_GoBack"/>
      <w:bookmarkEnd w:id="147"/>
      <w:r>
        <w:rPr>
          <w:rFonts w:hint="eastAsia" w:ascii="黑体"/>
          <w:lang w:val="en-US" w:eastAsia="zh-CN"/>
        </w:rPr>
        <w:t>1</w:t>
      </w:r>
      <w:r>
        <w:rPr>
          <w:rFonts w:hint="eastAsia" w:ascii="黑体"/>
        </w:rPr>
        <w:t xml:space="preserve"> </w:t>
      </w:r>
      <w:r>
        <w:rPr>
          <w:rFonts w:hint="eastAsia"/>
        </w:rPr>
        <w:t>实施</w:t>
      </w:r>
    </w:p>
    <w:tbl>
      <w:tblPr>
        <w:tblStyle w:val="26"/>
        <w:tblW w:w="4409" w:type="pct"/>
        <w:tblInd w:w="1781" w:type="dxa"/>
        <w:tblLayout w:type="autofit"/>
        <w:tblCellMar>
          <w:top w:w="0" w:type="dxa"/>
          <w:left w:w="108" w:type="dxa"/>
          <w:bottom w:w="0" w:type="dxa"/>
          <w:right w:w="108" w:type="dxa"/>
        </w:tblCellMar>
      </w:tblPr>
      <w:tblGrid>
        <w:gridCol w:w="3205"/>
        <w:gridCol w:w="1661"/>
        <w:gridCol w:w="1879"/>
      </w:tblGrid>
      <w:tr>
        <w:tblPrEx>
          <w:tblCellMar>
            <w:top w:w="0" w:type="dxa"/>
            <w:left w:w="108" w:type="dxa"/>
            <w:bottom w:w="0" w:type="dxa"/>
            <w:right w:w="108" w:type="dxa"/>
          </w:tblCellMar>
        </w:tblPrEx>
        <w:trPr>
          <w:trHeight w:val="280" w:hRule="atLeast"/>
        </w:trPr>
        <w:tc>
          <w:tcPr>
            <w:tcW w:w="2375" w:type="pct"/>
            <w:tcBorders>
              <w:top w:val="nil"/>
              <w:left w:val="nil"/>
              <w:bottom w:val="nil"/>
              <w:right w:val="nil"/>
            </w:tcBorders>
          </w:tcPr>
          <w:p>
            <w:pPr>
              <w:pStyle w:val="151"/>
              <w:framePr w:h="584" w:hRule="exact" w:hSpace="181" w:vSpace="181" w:wrap="around" w:vAnchor="page" w:hAnchor="page" w:x="1965" w:y="15181"/>
              <w:jc w:val="distribute"/>
              <w:rPr>
                <w:sz w:val="24"/>
                <w:szCs w:val="28"/>
              </w:rPr>
            </w:pPr>
            <w:r>
              <w:rPr>
                <w:rFonts w:hint="eastAsia" w:hAnsi="黑体"/>
                <w:w w:val="100"/>
                <w:sz w:val="28"/>
              </w:rPr>
              <w:t>青岛市市场监督管理局</w:t>
            </w:r>
          </w:p>
        </w:tc>
        <w:tc>
          <w:tcPr>
            <w:tcW w:w="1231" w:type="pct"/>
            <w:tcBorders>
              <w:top w:val="nil"/>
              <w:left w:val="nil"/>
              <w:bottom w:val="nil"/>
              <w:right w:val="nil"/>
            </w:tcBorders>
            <w:vAlign w:val="center"/>
          </w:tcPr>
          <w:p>
            <w:pPr>
              <w:pStyle w:val="151"/>
              <w:framePr w:h="584" w:hRule="exact" w:hSpace="181" w:vSpace="181" w:wrap="around" w:vAnchor="page" w:hAnchor="page" w:x="1965" w:y="15181"/>
              <w:rPr>
                <w:rFonts w:hAnsi="黑体"/>
              </w:rPr>
            </w:pPr>
            <w:r>
              <w:rPr>
                <w:rStyle w:val="229"/>
                <w:rFonts w:hint="eastAsia" w:hAnsi="黑体"/>
                <w:position w:val="0"/>
              </w:rPr>
              <w:t>发</w:t>
            </w:r>
            <w:r>
              <w:rPr>
                <w:rStyle w:val="229"/>
                <w:rFonts w:hint="eastAsia" w:hAnsi="黑体"/>
                <w:spacing w:val="0"/>
                <w:position w:val="0"/>
              </w:rPr>
              <w:t>布</w:t>
            </w:r>
          </w:p>
          <w:p>
            <w:pPr>
              <w:pStyle w:val="151"/>
              <w:framePr w:h="584" w:hRule="exact" w:hSpace="181" w:vSpace="181" w:wrap="around" w:vAnchor="page" w:hAnchor="page" w:x="1965" w:y="15181"/>
              <w:jc w:val="both"/>
              <w:rPr>
                <w:sz w:val="28"/>
                <w:szCs w:val="28"/>
              </w:rPr>
            </w:pPr>
          </w:p>
        </w:tc>
        <w:tc>
          <w:tcPr>
            <w:tcW w:w="1392" w:type="pct"/>
            <w:tcBorders>
              <w:top w:val="nil"/>
              <w:left w:val="nil"/>
              <w:bottom w:val="nil"/>
              <w:right w:val="nil"/>
            </w:tcBorders>
            <w:vAlign w:val="center"/>
          </w:tcPr>
          <w:p>
            <w:pPr>
              <w:pStyle w:val="151"/>
              <w:framePr w:h="584" w:hRule="exact" w:hSpace="181" w:vSpace="181" w:wrap="around" w:vAnchor="page" w:hAnchor="page" w:x="1965" w:y="15181"/>
              <w:jc w:val="both"/>
              <w:rPr>
                <w:spacing w:val="25"/>
                <w:sz w:val="24"/>
                <w:szCs w:val="28"/>
              </w:rPr>
            </w:pPr>
          </w:p>
        </w:tc>
      </w:tr>
    </w:tbl>
    <w:p>
      <w:pPr>
        <w:pStyle w:val="151"/>
        <w:framePr w:h="584" w:hRule="exact" w:hSpace="181" w:vSpace="181" w:wrap="around" w:vAnchor="page" w:hAnchor="page" w:x="1965" w:y="15181"/>
        <w:rPr>
          <w:rFonts w:hAnsi="黑体"/>
        </w:rPr>
      </w:pPr>
      <w:r>
        <w:rPr>
          <w:rFonts w:ascii="Times New Roman"/>
          <w:w w:val="100"/>
          <w:sz w:val="28"/>
        </w:rPr>
        <w:t>  </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1"/>
        <w:spacing w:after="468"/>
      </w:pPr>
      <w:bookmarkStart w:id="4" w:name="BookMark1"/>
      <w:bookmarkStart w:id="5" w:name="_Toc152059707"/>
      <w:bookmarkStart w:id="6" w:name="_Toc149839607"/>
      <w:bookmarkStart w:id="7" w:name="_Toc152141994"/>
      <w:bookmarkStart w:id="8" w:name="BookMark4"/>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"_Toc152158821" </w:instrText>
      </w:r>
      <w:r>
        <w:fldChar w:fldCharType="separate"/>
      </w:r>
      <w:r>
        <w:rPr>
          <w:rStyle w:val="32"/>
          <w:rFonts w:hint="eastAsia"/>
        </w:rPr>
        <w:t>前言</w:t>
      </w:r>
      <w:r>
        <w:tab/>
      </w:r>
      <w:r>
        <w:fldChar w:fldCharType="begin"/>
      </w:r>
      <w:r>
        <w:instrText xml:space="preserve"> PAGEREF _Toc152158821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"_Toc152158822" </w:instrText>
      </w:r>
      <w:r>
        <w:fldChar w:fldCharType="separate"/>
      </w:r>
      <w:r>
        <w:rPr>
          <w:rStyle w:val="32"/>
        </w:rPr>
        <w:t xml:space="preserve">1 </w:t>
      </w:r>
      <w:r>
        <w:rPr>
          <w:rStyle w:val="32"/>
          <w:rFonts w:hint="eastAsia"/>
        </w:rPr>
        <w:t xml:space="preserve"> 范围</w:t>
      </w:r>
      <w:r>
        <w:tab/>
      </w:r>
      <w:r>
        <w:fldChar w:fldCharType="begin"/>
      </w:r>
      <w:r>
        <w:instrText xml:space="preserve"> PAGEREF _Toc152158822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"_Toc152158823"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_Toc152158823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"_Toc152158824"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_Toc152158824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"_Toc152158825" </w:instrText>
      </w:r>
      <w:r>
        <w:fldChar w:fldCharType="separate"/>
      </w:r>
      <w:r>
        <w:rPr>
          <w:rStyle w:val="32"/>
        </w:rPr>
        <w:t xml:space="preserve">4 </w:t>
      </w:r>
      <w:r>
        <w:rPr>
          <w:rStyle w:val="32"/>
          <w:rFonts w:hint="eastAsia"/>
        </w:rPr>
        <w:t xml:space="preserve"> 保护范围</w:t>
      </w:r>
      <w:r>
        <w:tab/>
      </w:r>
      <w:r>
        <w:fldChar w:fldCharType="begin"/>
      </w:r>
      <w:r>
        <w:instrText xml:space="preserve"> PAGEREF _Toc152158825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"_Toc152158826" </w:instrText>
      </w:r>
      <w:r>
        <w:fldChar w:fldCharType="separate"/>
      </w:r>
      <w:r>
        <w:rPr>
          <w:rStyle w:val="32"/>
        </w:rPr>
        <w:t xml:space="preserve">5 </w:t>
      </w:r>
      <w:r>
        <w:rPr>
          <w:rStyle w:val="32"/>
          <w:rFonts w:hint="eastAsia"/>
        </w:rPr>
        <w:t xml:space="preserve"> 产地环境要求</w:t>
      </w:r>
      <w:r>
        <w:tab/>
      </w:r>
      <w:r>
        <w:fldChar w:fldCharType="begin"/>
      </w:r>
      <w:r>
        <w:instrText xml:space="preserve"> PAGEREF _Toc152158826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"_Toc152158827" </w:instrText>
      </w:r>
      <w:r>
        <w:fldChar w:fldCharType="separate"/>
      </w:r>
      <w:r>
        <w:rPr>
          <w:rStyle w:val="32"/>
        </w:rPr>
        <w:t xml:space="preserve">6 </w:t>
      </w:r>
      <w:r>
        <w:rPr>
          <w:rStyle w:val="32"/>
          <w:rFonts w:hint="eastAsia"/>
        </w:rPr>
        <w:t xml:space="preserve"> 菌种繁殖</w:t>
      </w:r>
      <w:r>
        <w:tab/>
      </w:r>
      <w:r>
        <w:fldChar w:fldCharType="begin"/>
      </w:r>
      <w:r>
        <w:instrText xml:space="preserve"> PAGEREF _Toc152158827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"_Toc152158828" </w:instrText>
      </w:r>
      <w:r>
        <w:fldChar w:fldCharType="separate"/>
      </w:r>
      <w:r>
        <w:rPr>
          <w:rStyle w:val="32"/>
        </w:rPr>
        <w:t xml:space="preserve">6.1 </w:t>
      </w:r>
      <w:r>
        <w:rPr>
          <w:rStyle w:val="32"/>
          <w:rFonts w:hint="eastAsia"/>
        </w:rPr>
        <w:t xml:space="preserve"> 菌种选择</w:t>
      </w:r>
      <w:r>
        <w:tab/>
      </w:r>
      <w:r>
        <w:fldChar w:fldCharType="begin"/>
      </w:r>
      <w:r>
        <w:instrText xml:space="preserve"> PAGEREF _Toc152158828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"_Toc152158829" </w:instrText>
      </w:r>
      <w:r>
        <w:fldChar w:fldCharType="separate"/>
      </w:r>
      <w:r>
        <w:rPr>
          <w:rStyle w:val="32"/>
        </w:rPr>
        <w:t xml:space="preserve">6.2 </w:t>
      </w:r>
      <w:r>
        <w:rPr>
          <w:rStyle w:val="32"/>
          <w:rFonts w:hint="eastAsia"/>
        </w:rPr>
        <w:t xml:space="preserve"> 母种采购</w:t>
      </w:r>
      <w:r>
        <w:tab/>
      </w:r>
      <w:r>
        <w:fldChar w:fldCharType="begin"/>
      </w:r>
      <w:r>
        <w:instrText xml:space="preserve"> PAGEREF _Toc152158829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"_Toc152158830" </w:instrText>
      </w:r>
      <w:r>
        <w:fldChar w:fldCharType="separate"/>
      </w:r>
      <w:r>
        <w:rPr>
          <w:rStyle w:val="32"/>
        </w:rPr>
        <w:t xml:space="preserve">6.3 </w:t>
      </w:r>
      <w:r>
        <w:rPr>
          <w:rStyle w:val="32"/>
          <w:rFonts w:hint="eastAsia"/>
        </w:rPr>
        <w:t xml:space="preserve"> 原种及栽培种繁殖</w:t>
      </w:r>
      <w:r>
        <w:tab/>
      </w:r>
      <w:r>
        <w:fldChar w:fldCharType="begin"/>
      </w:r>
      <w:r>
        <w:instrText xml:space="preserve"> PAGEREF _Toc152158830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"_Toc152158831" </w:instrText>
      </w:r>
      <w:r>
        <w:fldChar w:fldCharType="separate"/>
      </w:r>
      <w:r>
        <w:rPr>
          <w:rStyle w:val="32"/>
        </w:rPr>
        <w:t xml:space="preserve">7 </w:t>
      </w:r>
      <w:r>
        <w:rPr>
          <w:rStyle w:val="32"/>
          <w:rFonts w:hint="eastAsia"/>
        </w:rPr>
        <w:t xml:space="preserve"> 生产技术措施</w:t>
      </w:r>
      <w:r>
        <w:tab/>
      </w:r>
      <w:r>
        <w:fldChar w:fldCharType="begin"/>
      </w:r>
      <w:r>
        <w:instrText xml:space="preserve"> PAGEREF _Toc152158831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"_Toc152158832" </w:instrText>
      </w:r>
      <w:r>
        <w:fldChar w:fldCharType="separate"/>
      </w:r>
      <w:r>
        <w:rPr>
          <w:rStyle w:val="32"/>
        </w:rPr>
        <w:t xml:space="preserve">7.1 </w:t>
      </w:r>
      <w:r>
        <w:rPr>
          <w:rStyle w:val="32"/>
          <w:rFonts w:hint="eastAsia"/>
        </w:rPr>
        <w:t xml:space="preserve"> 大棚搭建</w:t>
      </w:r>
      <w:r>
        <w:tab/>
      </w:r>
      <w:r>
        <w:fldChar w:fldCharType="begin"/>
      </w:r>
      <w:r>
        <w:instrText xml:space="preserve"> PAGEREF _Toc152158832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"_Toc152158833" </w:instrText>
      </w:r>
      <w:r>
        <w:fldChar w:fldCharType="separate"/>
      </w:r>
      <w:r>
        <w:rPr>
          <w:rStyle w:val="32"/>
        </w:rPr>
        <w:t xml:space="preserve">7.2 </w:t>
      </w:r>
      <w:r>
        <w:rPr>
          <w:rStyle w:val="32"/>
          <w:rFonts w:hint="eastAsia"/>
        </w:rPr>
        <w:t xml:space="preserve"> 栽培季节</w:t>
      </w:r>
      <w:r>
        <w:tab/>
      </w:r>
      <w:r>
        <w:fldChar w:fldCharType="begin"/>
      </w:r>
      <w:r>
        <w:instrText xml:space="preserve"> PAGEREF _Toc152158833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"_Toc152158834" </w:instrText>
      </w:r>
      <w:r>
        <w:fldChar w:fldCharType="separate"/>
      </w:r>
      <w:r>
        <w:rPr>
          <w:rStyle w:val="32"/>
        </w:rPr>
        <w:t xml:space="preserve">7.3 </w:t>
      </w:r>
      <w:r>
        <w:rPr>
          <w:rStyle w:val="32"/>
          <w:rFonts w:hint="eastAsia"/>
        </w:rPr>
        <w:t xml:space="preserve"> 培养基配制</w:t>
      </w:r>
      <w:r>
        <w:tab/>
      </w:r>
      <w:r>
        <w:fldChar w:fldCharType="begin"/>
      </w:r>
      <w:r>
        <w:instrText xml:space="preserve"> PAGEREF _Toc152158834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"_Toc152158835" </w:instrText>
      </w:r>
      <w:r>
        <w:fldChar w:fldCharType="separate"/>
      </w:r>
      <w:r>
        <w:rPr>
          <w:rStyle w:val="32"/>
        </w:rPr>
        <w:t xml:space="preserve">7.4 </w:t>
      </w:r>
      <w:r>
        <w:rPr>
          <w:rStyle w:val="32"/>
          <w:rFonts w:hint="eastAsia"/>
        </w:rPr>
        <w:t xml:space="preserve"> 装袋</w:t>
      </w:r>
      <w:r>
        <w:tab/>
      </w:r>
      <w:r>
        <w:fldChar w:fldCharType="begin"/>
      </w:r>
      <w:r>
        <w:instrText xml:space="preserve"> PAGEREF _Toc152158835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"_Toc152158836" </w:instrText>
      </w:r>
      <w:r>
        <w:fldChar w:fldCharType="separate"/>
      </w:r>
      <w:r>
        <w:rPr>
          <w:rStyle w:val="32"/>
        </w:rPr>
        <w:t xml:space="preserve">7.5 </w:t>
      </w:r>
      <w:r>
        <w:rPr>
          <w:rStyle w:val="32"/>
          <w:rFonts w:hint="eastAsia"/>
        </w:rPr>
        <w:t xml:space="preserve"> 灭菌</w:t>
      </w:r>
      <w:r>
        <w:tab/>
      </w:r>
      <w:r>
        <w:fldChar w:fldCharType="begin"/>
      </w:r>
      <w:r>
        <w:instrText xml:space="preserve"> PAGEREF _Toc152158836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"_Toc152158837" </w:instrText>
      </w:r>
      <w:r>
        <w:fldChar w:fldCharType="separate"/>
      </w:r>
      <w:r>
        <w:rPr>
          <w:rStyle w:val="32"/>
        </w:rPr>
        <w:t xml:space="preserve">7.6 </w:t>
      </w:r>
      <w:r>
        <w:rPr>
          <w:rStyle w:val="32"/>
          <w:rFonts w:hint="eastAsia"/>
        </w:rPr>
        <w:t xml:space="preserve"> 接种</w:t>
      </w:r>
      <w:r>
        <w:tab/>
      </w:r>
      <w:r>
        <w:fldChar w:fldCharType="begin"/>
      </w:r>
      <w:r>
        <w:instrText xml:space="preserve"> PAGEREF _Toc152158837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"_Toc152158838" </w:instrText>
      </w:r>
      <w:r>
        <w:fldChar w:fldCharType="separate"/>
      </w:r>
      <w:r>
        <w:rPr>
          <w:rStyle w:val="32"/>
        </w:rPr>
        <w:t xml:space="preserve">7.7 </w:t>
      </w:r>
      <w:r>
        <w:rPr>
          <w:rStyle w:val="32"/>
          <w:rFonts w:hint="eastAsia"/>
        </w:rPr>
        <w:t xml:space="preserve"> 发菌阶段管理</w:t>
      </w:r>
      <w:r>
        <w:tab/>
      </w:r>
      <w:r>
        <w:fldChar w:fldCharType="begin"/>
      </w:r>
      <w:r>
        <w:instrText xml:space="preserve"> PAGEREF _Toc152158838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"_Toc152158839" </w:instrText>
      </w:r>
      <w:r>
        <w:fldChar w:fldCharType="separate"/>
      </w:r>
      <w:r>
        <w:rPr>
          <w:rStyle w:val="32"/>
        </w:rPr>
        <w:t xml:space="preserve">7.8 </w:t>
      </w:r>
      <w:r>
        <w:rPr>
          <w:rStyle w:val="32"/>
          <w:rFonts w:hint="eastAsia"/>
        </w:rPr>
        <w:t xml:space="preserve"> 出菇阶段管理</w:t>
      </w:r>
      <w:r>
        <w:tab/>
      </w:r>
      <w:r>
        <w:fldChar w:fldCharType="begin"/>
      </w:r>
      <w:r>
        <w:instrText xml:space="preserve"> PAGEREF _Toc152158839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"_Toc152158840" </w:instrText>
      </w:r>
      <w:r>
        <w:fldChar w:fldCharType="separate"/>
      </w:r>
      <w:r>
        <w:rPr>
          <w:rStyle w:val="32"/>
        </w:rPr>
        <w:t xml:space="preserve">8 </w:t>
      </w:r>
      <w:r>
        <w:rPr>
          <w:rStyle w:val="32"/>
          <w:rFonts w:hint="eastAsia"/>
        </w:rPr>
        <w:t xml:space="preserve"> 病虫害防治</w:t>
      </w:r>
      <w:r>
        <w:tab/>
      </w:r>
      <w:r>
        <w:fldChar w:fldCharType="begin"/>
      </w:r>
      <w:r>
        <w:instrText xml:space="preserve"> PAGEREF _Toc152158840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"_Toc152158841" </w:instrText>
      </w:r>
      <w:r>
        <w:fldChar w:fldCharType="separate"/>
      </w:r>
      <w:r>
        <w:rPr>
          <w:rStyle w:val="32"/>
        </w:rPr>
        <w:t xml:space="preserve">8.1 </w:t>
      </w:r>
      <w:r>
        <w:rPr>
          <w:rStyle w:val="32"/>
          <w:rFonts w:hint="eastAsia"/>
        </w:rPr>
        <w:t xml:space="preserve"> 防治原则</w:t>
      </w:r>
      <w:r>
        <w:tab/>
      </w:r>
      <w:r>
        <w:fldChar w:fldCharType="begin"/>
      </w:r>
      <w:r>
        <w:instrText xml:space="preserve"> PAGEREF _Toc152158841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"_Toc152158842" </w:instrText>
      </w:r>
      <w:r>
        <w:fldChar w:fldCharType="separate"/>
      </w:r>
      <w:r>
        <w:rPr>
          <w:rStyle w:val="32"/>
        </w:rPr>
        <w:t xml:space="preserve">8.2 </w:t>
      </w:r>
      <w:r>
        <w:rPr>
          <w:rStyle w:val="32"/>
          <w:rFonts w:hint="eastAsia"/>
        </w:rPr>
        <w:t xml:space="preserve"> 物理防治</w:t>
      </w:r>
      <w:r>
        <w:tab/>
      </w:r>
      <w:r>
        <w:fldChar w:fldCharType="begin"/>
      </w:r>
      <w:r>
        <w:instrText xml:space="preserve"> PAGEREF _Toc152158842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"_Toc152158843" </w:instrText>
      </w:r>
      <w:r>
        <w:fldChar w:fldCharType="separate"/>
      </w:r>
      <w:r>
        <w:rPr>
          <w:rStyle w:val="32"/>
        </w:rPr>
        <w:t xml:space="preserve">8.3 </w:t>
      </w:r>
      <w:r>
        <w:rPr>
          <w:rStyle w:val="32"/>
          <w:rFonts w:hint="eastAsia"/>
        </w:rPr>
        <w:t xml:space="preserve"> 化学防治</w:t>
      </w:r>
      <w:r>
        <w:tab/>
      </w:r>
      <w:r>
        <w:fldChar w:fldCharType="begin"/>
      </w:r>
      <w:r>
        <w:instrText xml:space="preserve"> PAGEREF _Toc152158843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"_Toc152158844" </w:instrText>
      </w:r>
      <w:r>
        <w:fldChar w:fldCharType="separate"/>
      </w:r>
      <w:r>
        <w:rPr>
          <w:rStyle w:val="32"/>
        </w:rPr>
        <w:t xml:space="preserve">9 </w:t>
      </w:r>
      <w:r>
        <w:rPr>
          <w:rStyle w:val="32"/>
          <w:rFonts w:hint="eastAsia"/>
        </w:rPr>
        <w:t xml:space="preserve"> 采收</w:t>
      </w:r>
      <w:r>
        <w:tab/>
      </w:r>
      <w:r>
        <w:fldChar w:fldCharType="begin"/>
      </w:r>
      <w:r>
        <w:instrText xml:space="preserve"> PAGEREF _Toc152158844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"_Toc152158845" </w:instrText>
      </w:r>
      <w:r>
        <w:fldChar w:fldCharType="separate"/>
      </w:r>
      <w:r>
        <w:rPr>
          <w:rStyle w:val="32"/>
        </w:rPr>
        <w:t xml:space="preserve">10 </w:t>
      </w:r>
      <w:r>
        <w:rPr>
          <w:rStyle w:val="32"/>
          <w:rFonts w:hint="eastAsia"/>
        </w:rPr>
        <w:t xml:space="preserve"> 生产记录</w:t>
      </w:r>
      <w:r>
        <w:tab/>
      </w:r>
      <w:r>
        <w:fldChar w:fldCharType="begin"/>
      </w:r>
      <w:r>
        <w:instrText xml:space="preserve"> PAGEREF _Toc152158845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"_Toc152158846" </w:instrText>
      </w:r>
      <w:r>
        <w:fldChar w:fldCharType="separate"/>
      </w:r>
      <w:r>
        <w:rPr>
          <w:rStyle w:val="32"/>
          <w:rFonts w:hint="eastAsia"/>
        </w:rPr>
        <w:t>附录A</w:t>
      </w:r>
      <w:r>
        <w:rPr>
          <w:rStyle w:val="32"/>
          <w:rFonts w:hint="eastAsia"/>
        </w:rPr>
        <w:fldChar w:fldCharType="end"/>
      </w:r>
      <w:r>
        <w:fldChar w:fldCharType="begin"/>
      </w:r>
      <w:r>
        <w:instrText xml:space="preserve"> HYPERLINK \l "_Toc152158847" </w:instrText>
      </w:r>
      <w:r>
        <w:fldChar w:fldCharType="separate"/>
      </w:r>
      <w:r>
        <w:rPr>
          <w:rStyle w:val="32"/>
          <w:rFonts w:hint="eastAsia"/>
        </w:rPr>
        <w:t>（规范性）</w:t>
      </w:r>
      <w:r>
        <w:rPr>
          <w:rStyle w:val="32"/>
        </w:rPr>
        <w:t xml:space="preserve"> </w:t>
      </w:r>
      <w:r>
        <w:rPr>
          <w:rStyle w:val="32"/>
          <w:rFonts w:hint="eastAsia"/>
        </w:rPr>
        <w:t>大村香菇地理标志地域保护范围</w:t>
      </w:r>
      <w:r>
        <w:tab/>
      </w:r>
      <w:r>
        <w:fldChar w:fldCharType="begin"/>
      </w:r>
      <w:r>
        <w:instrText xml:space="preserve"> PAGEREF _Toc152158847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"_Toc152158848" </w:instrText>
      </w:r>
      <w:r>
        <w:fldChar w:fldCharType="separate"/>
      </w:r>
      <w:r>
        <w:rPr>
          <w:rStyle w:val="32"/>
          <w:rFonts w:hint="eastAsia"/>
        </w:rPr>
        <w:t>附录B</w:t>
      </w:r>
      <w:r>
        <w:rPr>
          <w:rStyle w:val="32"/>
          <w:rFonts w:hint="eastAsia"/>
        </w:rPr>
        <w:fldChar w:fldCharType="end"/>
      </w:r>
      <w:r>
        <w:fldChar w:fldCharType="begin"/>
      </w:r>
      <w:r>
        <w:instrText xml:space="preserve"> HYPERLINK \l "_Toc152158849" </w:instrText>
      </w:r>
      <w:r>
        <w:fldChar w:fldCharType="separate"/>
      </w:r>
      <w:r>
        <w:rPr>
          <w:rStyle w:val="32"/>
          <w:rFonts w:hint="eastAsia"/>
        </w:rPr>
        <w:t>（资料性）</w:t>
      </w:r>
      <w:r>
        <w:rPr>
          <w:rStyle w:val="32"/>
        </w:rPr>
        <w:t xml:space="preserve"> </w:t>
      </w:r>
      <w:r>
        <w:rPr>
          <w:rStyle w:val="32"/>
          <w:rFonts w:hint="eastAsia" w:hAnsi="黑体" w:cs="黑体"/>
        </w:rPr>
        <w:t>香菇生产中禁止使用的农药名录</w:t>
      </w:r>
      <w:r>
        <w:tab/>
      </w:r>
      <w:r>
        <w:fldChar w:fldCharType="begin"/>
      </w:r>
      <w:r>
        <w:instrText xml:space="preserve"> PAGEREF _Toc152158849 \h </w:instrText>
      </w:r>
      <w:r>
        <w:fldChar w:fldCharType="separate"/>
      </w:r>
      <w:r>
        <w:t>7</w:t>
      </w:r>
      <w:r>
        <w:fldChar w:fldCharType="end"/>
      </w:r>
      <w:r>
        <w:fldChar w:fldCharType="end"/>
      </w:r>
    </w:p>
    <w:p>
      <w:pPr>
        <w:pStyle w:val="91"/>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4"/>
    <w:p>
      <w:pPr>
        <w:pStyle w:val="89"/>
        <w:spacing w:before="900" w:after="468"/>
      </w:pPr>
      <w:bookmarkStart w:id="9" w:name="_Toc152158821"/>
      <w:bookmarkStart w:id="10" w:name="BookMark2"/>
      <w:r>
        <w:rPr>
          <w:spacing w:val="320"/>
        </w:rPr>
        <w:t>前</w:t>
      </w:r>
      <w:r>
        <w:t>言</w:t>
      </w:r>
      <w:bookmarkEnd w:id="5"/>
      <w:bookmarkEnd w:id="6"/>
      <w:bookmarkEnd w:id="7"/>
      <w:bookmarkEnd w:id="9"/>
    </w:p>
    <w:p>
      <w:pPr>
        <w:pStyle w:val="56"/>
        <w:ind w:firstLine="420"/>
      </w:pPr>
      <w:r>
        <w:rPr>
          <w:rFonts w:hint="eastAsia"/>
        </w:rPr>
        <w:t>本文件按照GB/T 1.1—2020《标准化工作导则  第1部分：标准化文件的结构和起草规则》的规定起草。</w:t>
      </w:r>
    </w:p>
    <w:p>
      <w:pPr>
        <w:pStyle w:val="56"/>
        <w:ind w:firstLine="420"/>
        <w:rPr>
          <w:szCs w:val="21"/>
        </w:rPr>
      </w:pPr>
      <w:r>
        <w:rPr>
          <w:rFonts w:hint="eastAsia" w:hAnsi="宋体"/>
        </w:rPr>
        <w:t>本文件DB3702/T 26《地理标志产品</w:t>
      </w:r>
      <w:r>
        <w:rPr>
          <w:rFonts w:hint="eastAsia"/>
        </w:rPr>
        <w:t xml:space="preserve"> </w:t>
      </w:r>
      <w:r>
        <w:rPr>
          <w:rFonts w:hint="eastAsia" w:hAnsi="宋体"/>
        </w:rPr>
        <w:t>大村香菇》的第1部分。DB3702/T 26已发布了以下部分：</w:t>
      </w:r>
    </w:p>
    <w:p>
      <w:pPr>
        <w:pStyle w:val="56"/>
        <w:ind w:firstLine="420"/>
      </w:pPr>
      <w:r>
        <w:rPr>
          <w:rFonts w:hint="eastAsia" w:hAnsi="宋体"/>
        </w:rPr>
        <w:t>——第1部分：生产技术规程；</w:t>
      </w:r>
    </w:p>
    <w:p>
      <w:pPr>
        <w:pStyle w:val="56"/>
        <w:ind w:firstLine="420"/>
      </w:pPr>
      <w:r>
        <w:rPr>
          <w:rFonts w:hint="eastAsia" w:hAnsi="宋体"/>
        </w:rPr>
        <w:t>——第2部分：质量标准。</w:t>
      </w:r>
    </w:p>
    <w:p>
      <w:pPr>
        <w:pStyle w:val="56"/>
        <w:ind w:firstLine="420"/>
      </w:pPr>
      <w:r>
        <w:rPr>
          <w:rFonts w:hint="eastAsia" w:hAnsi="宋体"/>
        </w:rPr>
        <w:t>本文件由青岛市农业农村局提出。</w:t>
      </w:r>
    </w:p>
    <w:p>
      <w:pPr>
        <w:pStyle w:val="56"/>
        <w:ind w:firstLine="420"/>
      </w:pPr>
      <w:r>
        <w:rPr>
          <w:rFonts w:hint="eastAsia" w:hAnsi="宋体"/>
        </w:rPr>
        <w:t>本文件由青岛市农业农村标准化技术委员会归口。</w:t>
      </w:r>
    </w:p>
    <w:p>
      <w:pPr>
        <w:pStyle w:val="56"/>
        <w:ind w:firstLine="420"/>
      </w:pPr>
      <w:r>
        <w:rPr>
          <w:rFonts w:hint="eastAsia" w:hAnsi="宋体"/>
        </w:rPr>
        <w:t>本文件起草单位：青岛市黄岛区农业农村事业发展中心、青岛西海岸省级农业高新技术产业开发区管委会、</w:t>
      </w:r>
      <w:r>
        <w:rPr>
          <w:rFonts w:hint="eastAsia" w:hAnsi="宋体" w:cs="Calibri"/>
        </w:rPr>
        <w:t>青岛市黄岛区大村镇农业农村中心、青岛汉森菌业有限公司、青岛绿色家园生物科技发展有限公司</w:t>
      </w:r>
      <w:r>
        <w:rPr>
          <w:rFonts w:hint="eastAsia" w:hAnsi="宋体"/>
        </w:rPr>
        <w:t>。</w:t>
      </w:r>
    </w:p>
    <w:p>
      <w:pPr>
        <w:pStyle w:val="56"/>
        <w:ind w:firstLine="420"/>
      </w:pPr>
      <w:r>
        <w:rPr>
          <w:rFonts w:hint="eastAsia" w:hAnsi="宋体"/>
        </w:rPr>
        <w:t>本文件主要起草人：韩燕红、逄安、徐洪海、殷登科、逄润卿、丁月华、宋江富、李秀红、马洪君、崔艳丽、韩加勤、王艳平、王芹、陈学东、丁月华、宋江富。</w:t>
      </w:r>
    </w:p>
    <w:p>
      <w:pPr>
        <w:pStyle w:val="248"/>
      </w:pPr>
    </w:p>
    <w:p>
      <w:pPr>
        <w:pStyle w:val="56"/>
        <w:ind w:firstLine="420"/>
      </w:pPr>
    </w:p>
    <w:p>
      <w:pPr>
        <w:pStyle w:val="56"/>
        <w:ind w:firstLine="420"/>
      </w:pPr>
    </w:p>
    <w:p>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10"/>
    <w:p>
      <w:pPr>
        <w:spacing w:line="20" w:lineRule="exact"/>
        <w:jc w:val="center"/>
        <w:rPr>
          <w:rFonts w:ascii="黑体" w:hAnsi="黑体" w:eastAsia="黑体"/>
          <w:sz w:val="32"/>
          <w:szCs w:val="32"/>
        </w:rPr>
      </w:pPr>
    </w:p>
    <w:p>
      <w:pPr>
        <w:spacing w:line="20" w:lineRule="exact"/>
        <w:jc w:val="center"/>
        <w:rPr>
          <w:rFonts w:ascii="黑体" w:hAnsi="黑体" w:eastAsia="黑体"/>
          <w:sz w:val="32"/>
          <w:szCs w:val="32"/>
        </w:rPr>
      </w:pPr>
    </w:p>
    <w:sdt>
      <w:sdtPr>
        <w:tag w:val="NEW_STAND_NAME"/>
        <w:id w:val="595910757"/>
        <w:lock w:val="sdtLocked"/>
        <w:placeholder>
          <w:docPart w:val="{7a317533-f943-452f-9c41-41f02814d658}"/>
        </w:placeholder>
      </w:sdtPr>
      <w:sdtContent>
        <w:p>
          <w:pPr>
            <w:pStyle w:val="177"/>
            <w:spacing w:before="312" w:beforeLines="100" w:after="3" w:afterLines="1"/>
          </w:pPr>
          <w:bookmarkStart w:id="11" w:name="NEW_STAND_NAME"/>
          <w:r>
            <w:rPr>
              <w:rFonts w:hint="eastAsia"/>
            </w:rPr>
            <w:t>地理标志产品</w:t>
          </w:r>
          <w:r>
            <w:t xml:space="preserve"> </w:t>
          </w:r>
          <w:r>
            <w:rPr>
              <w:rFonts w:hint="eastAsia"/>
            </w:rPr>
            <w:t xml:space="preserve"> </w:t>
          </w:r>
          <w:r>
            <w:t>大村香菇</w:t>
          </w:r>
          <w:r>
            <w:rPr>
              <w:rFonts w:hint="eastAsia"/>
            </w:rPr>
            <w:t xml:space="preserve">  第</w:t>
          </w:r>
          <w:r>
            <w:t>1部分：生产技术规程</w:t>
          </w:r>
        </w:p>
      </w:sdtContent>
    </w:sdt>
    <w:bookmarkEnd w:id="11"/>
    <w:p>
      <w:pPr>
        <w:pStyle w:val="104"/>
        <w:spacing w:before="312" w:after="312"/>
      </w:pPr>
      <w:bookmarkStart w:id="12" w:name="_Toc97191423"/>
      <w:bookmarkStart w:id="13" w:name="_Toc149839608"/>
      <w:bookmarkStart w:id="14" w:name="_Toc152141995"/>
      <w:bookmarkStart w:id="15" w:name="_Toc152059708"/>
      <w:bookmarkStart w:id="16" w:name="_Toc17233333"/>
      <w:bookmarkStart w:id="17" w:name="_Toc26648465"/>
      <w:bookmarkStart w:id="18" w:name="_Toc24884211"/>
      <w:bookmarkStart w:id="19" w:name="_Toc26986530"/>
      <w:bookmarkStart w:id="20" w:name="_Toc26986771"/>
      <w:bookmarkStart w:id="21" w:name="_Toc24884218"/>
      <w:bookmarkStart w:id="22" w:name="_Toc17233325"/>
      <w:bookmarkStart w:id="23" w:name="_Toc26718930"/>
      <w:bookmarkStart w:id="24" w:name="_Toc152158822"/>
      <w:r>
        <w:rPr>
          <w:rFonts w:hint="eastAsia"/>
        </w:rPr>
        <w:t>范围</w:t>
      </w:r>
      <w:bookmarkEnd w:id="12"/>
      <w:bookmarkEnd w:id="13"/>
      <w:bookmarkEnd w:id="14"/>
      <w:bookmarkEnd w:id="15"/>
      <w:bookmarkEnd w:id="16"/>
      <w:bookmarkEnd w:id="17"/>
      <w:bookmarkEnd w:id="18"/>
      <w:bookmarkEnd w:id="19"/>
      <w:bookmarkEnd w:id="20"/>
      <w:bookmarkEnd w:id="21"/>
      <w:bookmarkEnd w:id="22"/>
      <w:bookmarkEnd w:id="23"/>
      <w:bookmarkEnd w:id="24"/>
    </w:p>
    <w:p>
      <w:pPr>
        <w:pStyle w:val="56"/>
        <w:ind w:firstLine="420"/>
      </w:pPr>
      <w:bookmarkStart w:id="25" w:name="_Toc26648466"/>
      <w:bookmarkStart w:id="26" w:name="_Toc17233334"/>
      <w:bookmarkStart w:id="27" w:name="_Toc24884219"/>
      <w:bookmarkStart w:id="28" w:name="_Toc24884212"/>
      <w:bookmarkStart w:id="29" w:name="_Toc17233326"/>
      <w:r>
        <w:rPr>
          <w:rFonts w:hint="eastAsia"/>
        </w:rPr>
        <w:t>本文件规定了地理标志产品大村香菇的术语和定义、保护范围、菌种繁殖、生产技术措施、病虫害防治、采收、生产记录。</w:t>
      </w:r>
    </w:p>
    <w:p>
      <w:pPr>
        <w:pStyle w:val="56"/>
        <w:ind w:firstLine="420"/>
      </w:pPr>
      <w:r>
        <w:rPr>
          <w:rFonts w:hint="eastAsia"/>
        </w:rPr>
        <w:t>本文件适用于农业农村部《农产品地理标志管理办法》批准保护的大村香菇的生产。</w:t>
      </w:r>
    </w:p>
    <w:p>
      <w:pPr>
        <w:pStyle w:val="104"/>
        <w:spacing w:before="312" w:after="312"/>
      </w:pPr>
      <w:bookmarkStart w:id="30" w:name="_Toc149839609"/>
      <w:bookmarkStart w:id="31" w:name="_Toc26986531"/>
      <w:bookmarkStart w:id="32" w:name="_Toc26986772"/>
      <w:bookmarkStart w:id="33" w:name="_Toc97191424"/>
      <w:bookmarkStart w:id="34" w:name="_Toc26718931"/>
      <w:bookmarkStart w:id="35" w:name="_Toc152059709"/>
      <w:bookmarkStart w:id="36" w:name="_Toc152141996"/>
      <w:bookmarkStart w:id="37" w:name="_Toc152158823"/>
      <w:r>
        <w:rPr>
          <w:rFonts w:hint="eastAsia"/>
        </w:rPr>
        <w:t>规范性引用文件</w:t>
      </w:r>
      <w:bookmarkEnd w:id="25"/>
      <w:bookmarkEnd w:id="26"/>
      <w:bookmarkEnd w:id="27"/>
      <w:bookmarkEnd w:id="28"/>
      <w:bookmarkEnd w:id="29"/>
      <w:bookmarkEnd w:id="30"/>
      <w:bookmarkEnd w:id="31"/>
      <w:bookmarkEnd w:id="32"/>
      <w:bookmarkEnd w:id="33"/>
      <w:bookmarkEnd w:id="34"/>
      <w:bookmarkEnd w:id="35"/>
      <w:bookmarkEnd w:id="36"/>
      <w:bookmarkEnd w:id="37"/>
    </w:p>
    <w:sdt>
      <w:sdtPr>
        <w:rPr>
          <w:rFonts w:hint="eastAsia"/>
        </w:rPr>
        <w:id w:val="715848253"/>
        <w:placeholder>
          <w:docPart w:val="{dfeddf69-34cd-4c2a-9888-abcd686f438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5084  农田灌溉水质标准</w:t>
      </w:r>
    </w:p>
    <w:p>
      <w:pPr>
        <w:pStyle w:val="56"/>
        <w:ind w:firstLine="420"/>
      </w:pPr>
      <w:r>
        <w:rPr>
          <w:rFonts w:hint="eastAsia"/>
        </w:rPr>
        <w:t>GB/T 8321  农药合理使用准则</w:t>
      </w:r>
    </w:p>
    <w:p>
      <w:pPr>
        <w:pStyle w:val="56"/>
        <w:ind w:firstLine="420"/>
      </w:pPr>
      <w:r>
        <w:rPr>
          <w:rFonts w:hint="eastAsia"/>
        </w:rPr>
        <w:t>GB/T 12728  食用菌术语</w:t>
      </w:r>
    </w:p>
    <w:p>
      <w:pPr>
        <w:pStyle w:val="56"/>
        <w:ind w:firstLine="420"/>
      </w:pPr>
      <w:r>
        <w:rPr>
          <w:rFonts w:hint="eastAsia"/>
        </w:rPr>
        <w:t>GB 19170  香菇菌种</w:t>
      </w:r>
    </w:p>
    <w:p>
      <w:pPr>
        <w:pStyle w:val="56"/>
        <w:ind w:firstLine="420"/>
      </w:pPr>
      <w:r>
        <w:rPr>
          <w:rFonts w:hint="eastAsia"/>
        </w:rPr>
        <w:t>GB/T 38581  香菇</w:t>
      </w:r>
    </w:p>
    <w:p>
      <w:pPr>
        <w:pStyle w:val="56"/>
        <w:ind w:firstLine="420"/>
      </w:pPr>
      <w:r>
        <w:rPr>
          <w:rFonts w:hint="eastAsia"/>
        </w:rPr>
        <w:t>NY/T 391  绿色食品 产地环境质量</w:t>
      </w:r>
    </w:p>
    <w:p>
      <w:pPr>
        <w:pStyle w:val="56"/>
        <w:ind w:firstLine="420"/>
      </w:pPr>
      <w:r>
        <w:rPr>
          <w:rFonts w:hint="eastAsia"/>
        </w:rPr>
        <w:t>NY/T 1935  食用菌栽培基质质量安全要求</w:t>
      </w:r>
    </w:p>
    <w:p>
      <w:pPr>
        <w:pStyle w:val="56"/>
        <w:ind w:firstLine="420"/>
      </w:pPr>
      <w:r>
        <w:rPr>
          <w:rFonts w:hint="eastAsia"/>
        </w:rPr>
        <w:t>农产品地理标志管理办法（中华人民共和国农业部令第11号）</w:t>
      </w:r>
    </w:p>
    <w:p>
      <w:pPr>
        <w:pStyle w:val="104"/>
        <w:spacing w:before="312" w:after="312"/>
      </w:pPr>
      <w:bookmarkStart w:id="38" w:name="_Toc149839610"/>
      <w:bookmarkStart w:id="39" w:name="_Toc97191425"/>
      <w:bookmarkStart w:id="40" w:name="_Toc152059710"/>
      <w:bookmarkStart w:id="41" w:name="_Toc152141997"/>
      <w:bookmarkStart w:id="42" w:name="_Toc152158824"/>
      <w:r>
        <w:rPr>
          <w:rFonts w:hint="eastAsia"/>
          <w:szCs w:val="21"/>
        </w:rPr>
        <w:t>术语和定义</w:t>
      </w:r>
      <w:bookmarkEnd w:id="38"/>
      <w:bookmarkEnd w:id="39"/>
      <w:bookmarkEnd w:id="40"/>
      <w:bookmarkEnd w:id="41"/>
      <w:bookmarkEnd w:id="42"/>
    </w:p>
    <w:sdt>
      <w:sdtPr>
        <w:rPr>
          <w:rFonts w:hAnsi="宋体"/>
        </w:rPr>
        <w:id w:val="-1909835108"/>
        <w:placeholder>
          <w:docPart w:val="{bbcbbadc-0b25-44b9-89e8-13a810ba83a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rPr>
      </w:sdtEndPr>
      <w:sdtContent>
        <w:p>
          <w:pPr>
            <w:pStyle w:val="56"/>
            <w:ind w:firstLine="420"/>
          </w:pPr>
          <w:bookmarkStart w:id="43" w:name="_Toc26986532"/>
          <w:bookmarkEnd w:id="43"/>
          <w:r>
            <w:rPr>
              <w:rFonts w:hint="eastAsia" w:hAnsi="宋体"/>
            </w:rPr>
            <w:t>GB 19170、GB/T 12728、GB/T 38581</w:t>
          </w:r>
          <w:r>
            <w:rPr>
              <w:rFonts w:hAnsi="宋体"/>
            </w:rPr>
            <w:t>界定的以及下列术语和定义适用于本文件。</w:t>
          </w:r>
        </w:p>
      </w:sdtContent>
    </w:sdt>
    <w:p>
      <w:pPr>
        <w:pStyle w:val="223"/>
        <w:ind w:left="420" w:hanging="420" w:hangingChars="200"/>
        <w:rPr>
          <w:rFonts w:ascii="黑体" w:hAnsi="黑体" w:eastAsia="黑体"/>
        </w:rPr>
      </w:pPr>
      <w:bookmarkStart w:id="44" w:name="_Toc344317659"/>
      <w:bookmarkEnd w:id="44"/>
      <w:bookmarkStart w:id="45" w:name="_Toc149839612"/>
      <w:bookmarkStart w:id="46" w:name="_Toc152059712"/>
      <w:r>
        <w:rPr>
          <w:rFonts w:ascii="黑体" w:hAnsi="黑体" w:eastAsia="黑体"/>
        </w:rPr>
        <w:br w:type="textWrapping"/>
      </w:r>
      <w:r>
        <w:rPr>
          <w:rFonts w:hint="eastAsia" w:ascii="黑体" w:hAnsi="黑体" w:eastAsia="黑体"/>
        </w:rPr>
        <w:t>大村香菇</w:t>
      </w:r>
      <w:bookmarkEnd w:id="45"/>
      <w:bookmarkEnd w:id="46"/>
      <w:r>
        <w:rPr>
          <w:rFonts w:hint="eastAsia" w:ascii="黑体" w:hAnsi="黑体" w:eastAsia="黑体"/>
        </w:rPr>
        <w:t xml:space="preserve">  </w:t>
      </w:r>
      <w:r>
        <w:rPr>
          <w:rFonts w:ascii="Times New Roman"/>
          <w:b/>
          <w:szCs w:val="21"/>
        </w:rPr>
        <w:t>Dacun shiitake mushroom</w:t>
      </w:r>
    </w:p>
    <w:p>
      <w:pPr>
        <w:pStyle w:val="56"/>
        <w:ind w:firstLine="420"/>
      </w:pPr>
      <w:r>
        <w:rPr>
          <w:rFonts w:hint="eastAsia" w:hAnsi="宋体"/>
        </w:rPr>
        <w:t>产自大村香菇地理标志地域保护范围内，在独特的自然生态环境下，根据特定生产方式生产的香菇产品，包括鲜香菇和干香菇。</w:t>
      </w:r>
    </w:p>
    <w:p>
      <w:pPr>
        <w:pStyle w:val="104"/>
        <w:spacing w:before="312" w:after="312"/>
      </w:pPr>
      <w:bookmarkStart w:id="47" w:name="_Toc149839613"/>
      <w:bookmarkStart w:id="48" w:name="_Toc152059713"/>
      <w:bookmarkStart w:id="49" w:name="_Toc152141998"/>
      <w:bookmarkStart w:id="50" w:name="_Toc152158825"/>
      <w:r>
        <w:rPr>
          <w:rFonts w:hint="eastAsia"/>
        </w:rPr>
        <w:t>保护范围</w:t>
      </w:r>
      <w:bookmarkEnd w:id="47"/>
      <w:bookmarkEnd w:id="48"/>
      <w:bookmarkEnd w:id="49"/>
      <w:bookmarkEnd w:id="50"/>
    </w:p>
    <w:p>
      <w:pPr>
        <w:pStyle w:val="56"/>
        <w:ind w:firstLine="420"/>
      </w:pPr>
      <w:r>
        <w:rPr>
          <w:rFonts w:hint="eastAsia" w:hAnsi="宋体"/>
        </w:rPr>
        <w:t>大村香菇地理标志地域保护范围限于根据农业部《农产品地理标志管理办法》批准的范围，即青岛市黄岛区大村镇中村、前村、大石岭等82个行政村。详见本文件附录A。</w:t>
      </w:r>
    </w:p>
    <w:p>
      <w:pPr>
        <w:pStyle w:val="104"/>
        <w:spacing w:before="312" w:after="312"/>
      </w:pPr>
      <w:bookmarkStart w:id="51" w:name="_Toc344317660"/>
      <w:bookmarkEnd w:id="51"/>
      <w:bookmarkStart w:id="52" w:name="_Toc149839614"/>
      <w:bookmarkStart w:id="53" w:name="_Toc152059714"/>
      <w:bookmarkStart w:id="54" w:name="_Toc152141999"/>
      <w:bookmarkStart w:id="55" w:name="_Toc152158826"/>
      <w:r>
        <w:rPr>
          <w:rFonts w:hint="eastAsia"/>
        </w:rPr>
        <w:t>产地环境要求</w:t>
      </w:r>
      <w:bookmarkEnd w:id="52"/>
      <w:bookmarkEnd w:id="53"/>
      <w:bookmarkEnd w:id="54"/>
      <w:bookmarkEnd w:id="55"/>
    </w:p>
    <w:p>
      <w:pPr>
        <w:pStyle w:val="56"/>
        <w:ind w:firstLine="420"/>
      </w:pPr>
      <w:r>
        <w:rPr>
          <w:rFonts w:hint="eastAsia" w:hAnsi="宋体"/>
        </w:rPr>
        <w:t>大村香菇人工培养产地的土壤、基质、水质应符合NY/T</w:t>
      </w:r>
      <w:r>
        <w:rPr>
          <w:rFonts w:hint="eastAsia"/>
        </w:rPr>
        <w:t xml:space="preserve"> </w:t>
      </w:r>
      <w:r>
        <w:rPr>
          <w:rFonts w:hint="eastAsia" w:hAnsi="宋体"/>
        </w:rPr>
        <w:t>391的要求。</w:t>
      </w:r>
      <w:r>
        <w:rPr>
          <w:rFonts w:hint="eastAsia"/>
        </w:rPr>
        <w:t xml:space="preserve"> </w:t>
      </w:r>
    </w:p>
    <w:p>
      <w:pPr>
        <w:pStyle w:val="104"/>
        <w:spacing w:before="312" w:after="312"/>
      </w:pPr>
      <w:bookmarkStart w:id="56" w:name="_Toc149839615"/>
      <w:bookmarkStart w:id="57" w:name="_Toc152059715"/>
      <w:bookmarkStart w:id="58" w:name="_Toc152142000"/>
      <w:bookmarkStart w:id="59" w:name="_Toc152158827"/>
      <w:r>
        <w:rPr>
          <w:rFonts w:hint="eastAsia"/>
        </w:rPr>
        <w:t>菌种繁殖</w:t>
      </w:r>
      <w:bookmarkEnd w:id="56"/>
      <w:bookmarkEnd w:id="57"/>
      <w:bookmarkEnd w:id="58"/>
      <w:bookmarkEnd w:id="59"/>
    </w:p>
    <w:p>
      <w:pPr>
        <w:pStyle w:val="105"/>
        <w:spacing w:before="156" w:after="156"/>
        <w:ind w:left="0"/>
      </w:pPr>
      <w:bookmarkStart w:id="60" w:name="_Toc149839616"/>
      <w:bookmarkStart w:id="61" w:name="_Toc152059716"/>
      <w:bookmarkStart w:id="62" w:name="_Toc152142001"/>
      <w:bookmarkStart w:id="63" w:name="_Toc152158828"/>
      <w:r>
        <w:rPr>
          <w:rFonts w:hint="eastAsia"/>
        </w:rPr>
        <w:t>菌种选择</w:t>
      </w:r>
      <w:bookmarkEnd w:id="60"/>
      <w:bookmarkEnd w:id="61"/>
      <w:bookmarkEnd w:id="62"/>
      <w:bookmarkEnd w:id="63"/>
    </w:p>
    <w:p>
      <w:pPr>
        <w:pStyle w:val="56"/>
        <w:ind w:firstLine="420"/>
      </w:pPr>
      <w:r>
        <w:rPr>
          <w:rFonts w:hint="eastAsia" w:hAnsi="宋体"/>
        </w:rPr>
        <w:t>选用优质、发菌旺、抗杂菌、抗病的适应大村气候特点的中温型品种。如韩元1号、武香1号、夏香2号、931等品种。菌种质量应符合GB 19170的规定。</w:t>
      </w:r>
    </w:p>
    <w:p>
      <w:pPr>
        <w:pStyle w:val="105"/>
        <w:spacing w:before="156" w:after="156"/>
        <w:ind w:left="0"/>
      </w:pPr>
      <w:bookmarkStart w:id="64" w:name="_Toc149839617"/>
      <w:bookmarkStart w:id="65" w:name="_Toc152059717"/>
      <w:bookmarkStart w:id="66" w:name="_Toc152142002"/>
      <w:bookmarkStart w:id="67" w:name="_Toc152158829"/>
      <w:r>
        <w:rPr>
          <w:rFonts w:hint="eastAsia"/>
        </w:rPr>
        <w:t>母种采购</w:t>
      </w:r>
      <w:bookmarkEnd w:id="64"/>
      <w:bookmarkEnd w:id="65"/>
      <w:bookmarkEnd w:id="66"/>
      <w:bookmarkEnd w:id="67"/>
    </w:p>
    <w:p>
      <w:pPr>
        <w:pStyle w:val="56"/>
        <w:ind w:firstLine="420"/>
      </w:pPr>
      <w:r>
        <w:rPr>
          <w:rFonts w:hint="eastAsia" w:hAnsi="宋体"/>
        </w:rPr>
        <w:t>3月上旬从具有资质的科研单位或菌种生产单位采购母种，每1万支香菇菌棒需母种35～40支。</w:t>
      </w:r>
    </w:p>
    <w:p>
      <w:pPr>
        <w:pStyle w:val="105"/>
        <w:spacing w:before="156" w:after="156"/>
        <w:ind w:left="0"/>
      </w:pPr>
      <w:bookmarkStart w:id="68" w:name="_Toc149839618"/>
      <w:bookmarkStart w:id="69" w:name="_Toc152059718"/>
      <w:bookmarkStart w:id="70" w:name="_Toc152142003"/>
      <w:bookmarkStart w:id="71" w:name="_Toc152158830"/>
      <w:r>
        <w:rPr>
          <w:rFonts w:hint="eastAsia"/>
        </w:rPr>
        <w:t>原种及栽培种繁殖</w:t>
      </w:r>
      <w:bookmarkEnd w:id="68"/>
      <w:bookmarkEnd w:id="69"/>
      <w:bookmarkEnd w:id="70"/>
      <w:bookmarkEnd w:id="71"/>
    </w:p>
    <w:p>
      <w:pPr>
        <w:pStyle w:val="65"/>
        <w:spacing w:before="156" w:after="156"/>
        <w:rPr>
          <w:rFonts w:ascii="宋体" w:hAnsi="宋体"/>
        </w:rPr>
      </w:pPr>
      <w:r>
        <w:rPr>
          <w:rFonts w:hint="eastAsia"/>
        </w:rPr>
        <w:t>季节安排</w:t>
      </w:r>
    </w:p>
    <w:p>
      <w:pPr>
        <w:pStyle w:val="56"/>
        <w:ind w:firstLine="420"/>
      </w:pPr>
      <w:r>
        <w:rPr>
          <w:rFonts w:hint="eastAsia" w:hAnsi="宋体"/>
        </w:rPr>
        <w:t>5月下旬根据生产能力繁殖原种，6月份根据生产安排分批繁殖栽培种。原种及栽培种的接种及发菌均需在20℃～26℃的无菌环境中进行，并保持通风。</w:t>
      </w:r>
    </w:p>
    <w:p>
      <w:pPr>
        <w:pStyle w:val="65"/>
        <w:spacing w:before="156" w:after="156"/>
      </w:pPr>
      <w:r>
        <w:rPr>
          <w:rFonts w:hint="eastAsia"/>
        </w:rPr>
        <w:t>繁殖技术</w:t>
      </w:r>
    </w:p>
    <w:p>
      <w:pPr>
        <w:pStyle w:val="56"/>
        <w:ind w:firstLine="420"/>
      </w:pPr>
      <w:r>
        <w:rPr>
          <w:rFonts w:hint="eastAsia" w:hAnsi="宋体"/>
        </w:rPr>
        <w:t>参照7.3条～7.7条的要求进行，但菌袋不需刺孔，在发菌阶段发现有杂菌的菌种棒要及时清理，以防污染其它菌种棒。</w:t>
      </w:r>
    </w:p>
    <w:p>
      <w:pPr>
        <w:pStyle w:val="104"/>
        <w:spacing w:before="312" w:after="312"/>
      </w:pPr>
      <w:bookmarkStart w:id="72" w:name="_Toc149839619"/>
      <w:bookmarkStart w:id="73" w:name="_Toc152059719"/>
      <w:bookmarkStart w:id="74" w:name="_Toc152142004"/>
      <w:bookmarkStart w:id="75" w:name="_Toc152158831"/>
      <w:r>
        <w:rPr>
          <w:rFonts w:hint="eastAsia"/>
        </w:rPr>
        <w:t>生产技术措施</w:t>
      </w:r>
      <w:bookmarkEnd w:id="72"/>
      <w:bookmarkEnd w:id="73"/>
      <w:bookmarkEnd w:id="74"/>
      <w:bookmarkEnd w:id="75"/>
    </w:p>
    <w:p>
      <w:pPr>
        <w:pStyle w:val="105"/>
        <w:spacing w:before="156" w:after="156"/>
        <w:ind w:left="0"/>
      </w:pPr>
      <w:bookmarkStart w:id="76" w:name="_Toc149839620"/>
      <w:bookmarkStart w:id="77" w:name="_Toc152059720"/>
      <w:bookmarkStart w:id="78" w:name="_Toc152142005"/>
      <w:bookmarkStart w:id="79" w:name="_Toc152158832"/>
      <w:r>
        <w:rPr>
          <w:rFonts w:hint="eastAsia"/>
        </w:rPr>
        <w:t>大棚搭建</w:t>
      </w:r>
      <w:bookmarkEnd w:id="76"/>
      <w:bookmarkEnd w:id="77"/>
      <w:bookmarkEnd w:id="78"/>
      <w:bookmarkEnd w:id="79"/>
    </w:p>
    <w:p>
      <w:pPr>
        <w:pStyle w:val="56"/>
        <w:ind w:firstLine="420"/>
      </w:pPr>
      <w:r>
        <w:rPr>
          <w:rFonts w:hint="eastAsia" w:hAnsi="宋体"/>
        </w:rPr>
        <w:t>大棚应搭建在地势高爽平坦、排水方便、整洁干净的地方，南北走向，高度不低于2m，每座棚占地面积以200 m</w:t>
      </w:r>
      <w:r>
        <w:rPr>
          <w:rFonts w:hAnsi="宋体"/>
          <w:vertAlign w:val="superscript"/>
        </w:rPr>
        <w:t>2</w:t>
      </w:r>
      <w:r>
        <w:rPr>
          <w:rFonts w:hint="eastAsia" w:hAnsi="宋体"/>
        </w:rPr>
        <w:t>为宜，1 m</w:t>
      </w:r>
      <w:r>
        <w:rPr>
          <w:rFonts w:hint="eastAsia" w:hAnsi="宋体"/>
          <w:vertAlign w:val="superscript"/>
        </w:rPr>
        <w:t>2</w:t>
      </w:r>
      <w:r>
        <w:rPr>
          <w:rFonts w:hint="eastAsia" w:hAnsi="宋体"/>
        </w:rPr>
        <w:t>可摆放20个菌棒。棚上覆盖棚膜，再加盖遮阳网。菌棒出菇之前，用</w:t>
      </w:r>
      <w:r>
        <w:rPr>
          <w:rFonts w:hint="eastAsia" w:ascii="Times New Roman"/>
        </w:rPr>
        <w:t>Ø</w:t>
      </w:r>
      <w:r>
        <w:rPr>
          <w:rFonts w:hint="eastAsia" w:hAnsi="宋体"/>
        </w:rPr>
        <w:t>1.6 mm铁丝南北向拉起，作菌棒倚靠用。铁丝距地面25 cm，间距20 cm。以方便采菇为准，留70 cm宽的走道。</w:t>
      </w:r>
    </w:p>
    <w:p>
      <w:pPr>
        <w:pStyle w:val="105"/>
        <w:spacing w:before="156" w:after="156"/>
        <w:ind w:left="0"/>
      </w:pPr>
      <w:bookmarkStart w:id="80" w:name="_Toc149839621"/>
      <w:bookmarkStart w:id="81" w:name="_Toc152059721"/>
      <w:bookmarkStart w:id="82" w:name="_Toc152142006"/>
      <w:bookmarkStart w:id="83" w:name="_Toc152158833"/>
      <w:r>
        <w:rPr>
          <w:rFonts w:hint="eastAsia"/>
        </w:rPr>
        <w:t>栽培季节</w:t>
      </w:r>
      <w:bookmarkEnd w:id="80"/>
      <w:bookmarkEnd w:id="81"/>
      <w:bookmarkEnd w:id="82"/>
      <w:bookmarkEnd w:id="83"/>
    </w:p>
    <w:p>
      <w:pPr>
        <w:pStyle w:val="56"/>
        <w:ind w:firstLine="420"/>
      </w:pPr>
      <w:r>
        <w:rPr>
          <w:rFonts w:hint="eastAsia" w:hAnsi="宋体"/>
        </w:rPr>
        <w:t>装袋接种的最佳时间应在7月上旬至8月中旬，9月下旬开始剥袋、转色，10月上旬至翌年1月下旬出第一茬菇，翌年3月下旬开始再次出菇，至7月上旬出菇结束。</w:t>
      </w:r>
    </w:p>
    <w:p>
      <w:pPr>
        <w:pStyle w:val="105"/>
        <w:spacing w:before="156" w:after="156"/>
        <w:ind w:left="0"/>
      </w:pPr>
      <w:bookmarkStart w:id="84" w:name="_Toc149839622"/>
      <w:bookmarkStart w:id="85" w:name="_Toc152059722"/>
      <w:bookmarkStart w:id="86" w:name="_Toc152142007"/>
      <w:bookmarkStart w:id="87" w:name="_Toc152158834"/>
      <w:r>
        <w:rPr>
          <w:rFonts w:hint="eastAsia"/>
        </w:rPr>
        <w:t>培养基配制</w:t>
      </w:r>
      <w:bookmarkEnd w:id="84"/>
      <w:bookmarkEnd w:id="85"/>
      <w:bookmarkEnd w:id="86"/>
      <w:bookmarkEnd w:id="87"/>
    </w:p>
    <w:p>
      <w:pPr>
        <w:pStyle w:val="56"/>
        <w:ind w:firstLine="420"/>
      </w:pPr>
      <w:r>
        <w:rPr>
          <w:rFonts w:hint="eastAsia" w:hAnsi="宋体"/>
        </w:rPr>
        <w:t>培养基配制安全技术要求应符合NY/T 1935的规定，常用以下3种培养基配方：</w:t>
      </w:r>
    </w:p>
    <w:p>
      <w:pPr>
        <w:pStyle w:val="132"/>
      </w:pPr>
      <w:r>
        <w:rPr>
          <w:rFonts w:hint="eastAsia"/>
        </w:rPr>
        <w:t>培养基配方①：桑枝屑78%，麸皮20%，丰优素0.16%（调酸剂，主要成分硫酸镁），糖0.84%，石膏1%，含水量55%～60%；</w:t>
      </w:r>
    </w:p>
    <w:p>
      <w:pPr>
        <w:pStyle w:val="132"/>
      </w:pPr>
      <w:r>
        <w:rPr>
          <w:rFonts w:hint="eastAsia"/>
        </w:rPr>
        <w:t>培养基配方②：杂木屑（阔叶树）78%，麸皮20%，糖1%，石膏1%，含水量55%～60%；</w:t>
      </w:r>
    </w:p>
    <w:p>
      <w:pPr>
        <w:pStyle w:val="132"/>
      </w:pPr>
      <w:r>
        <w:rPr>
          <w:rFonts w:hint="eastAsia"/>
        </w:rPr>
        <w:t>培养基配方③：杂木屑（阔叶树）50%，桑枝屑33.0%，麸皮15%，丰优素0.16%，糖0.84%，石膏1%，含水量55%～60%。</w:t>
      </w:r>
    </w:p>
    <w:p>
      <w:pPr>
        <w:pStyle w:val="105"/>
        <w:spacing w:before="156" w:after="156"/>
        <w:ind w:left="0"/>
      </w:pPr>
      <w:bookmarkStart w:id="88" w:name="_Toc152059723"/>
      <w:bookmarkStart w:id="89" w:name="_Toc149839623"/>
      <w:bookmarkStart w:id="90" w:name="_Toc152158835"/>
      <w:bookmarkStart w:id="91" w:name="_Toc152142008"/>
      <w:r>
        <w:t>装袋</w:t>
      </w:r>
      <w:bookmarkEnd w:id="88"/>
      <w:bookmarkEnd w:id="89"/>
      <w:bookmarkEnd w:id="90"/>
      <w:bookmarkEnd w:id="91"/>
    </w:p>
    <w:p>
      <w:pPr>
        <w:pStyle w:val="56"/>
        <w:ind w:firstLine="420"/>
      </w:pPr>
      <w:r>
        <w:rPr>
          <w:rFonts w:hint="eastAsia" w:hAnsi="宋体"/>
        </w:rPr>
        <w:t>选用长55 cm、宽15 cm、厚0.05 mm的聚乙烯塑料袋，用螺旋装袋机装袋，每袋装料湿重1.8 kg～2.0 kg（干重0.9 kg～1.0 kg）。装完立即上锅（堆）灭菌。塑料袋应清洁、牢固、无毒、无污染、无异味，符合GB 4806.7的规定。</w:t>
      </w:r>
    </w:p>
    <w:p>
      <w:pPr>
        <w:pStyle w:val="105"/>
        <w:spacing w:before="156" w:after="156"/>
        <w:ind w:left="0"/>
      </w:pPr>
      <w:bookmarkStart w:id="92" w:name="_Toc149839624"/>
      <w:bookmarkStart w:id="93" w:name="_Toc152142009"/>
      <w:bookmarkStart w:id="94" w:name="_Toc152059724"/>
      <w:bookmarkStart w:id="95" w:name="_Toc152158836"/>
      <w:r>
        <w:t>灭菌</w:t>
      </w:r>
      <w:bookmarkEnd w:id="92"/>
      <w:bookmarkEnd w:id="93"/>
      <w:bookmarkEnd w:id="94"/>
      <w:bookmarkEnd w:id="95"/>
    </w:p>
    <w:p>
      <w:pPr>
        <w:pStyle w:val="56"/>
        <w:ind w:firstLine="420"/>
      </w:pPr>
      <w:r>
        <w:rPr>
          <w:rFonts w:hint="eastAsia" w:hAnsi="宋体"/>
        </w:rPr>
        <w:t>培养料配制好后，要在当天装完灭菌，采用煮浴锅蒸汽灭菌或锅炉蒸汽灭菌的方法，灭菌时使锅（箱</w:t>
      </w:r>
      <w:r>
        <w:rPr>
          <w:rFonts w:hAnsi="宋体"/>
        </w:rPr>
        <w:t>）</w:t>
      </w:r>
      <w:r>
        <w:rPr>
          <w:rFonts w:hint="eastAsia" w:hAnsi="宋体"/>
        </w:rPr>
        <w:t>内温度在3 h～4 h内迅速升到100℃，100℃维持20 h～30 h后停火、焖锅，待锅（堆）内袋温降到60℃～70℃时出锅，趁热运至接种室内。</w:t>
      </w:r>
    </w:p>
    <w:p>
      <w:pPr>
        <w:pStyle w:val="105"/>
        <w:spacing w:before="156" w:after="156"/>
        <w:ind w:left="0"/>
      </w:pPr>
      <w:bookmarkStart w:id="96" w:name="_Toc152059725"/>
      <w:bookmarkStart w:id="97" w:name="_Toc149839625"/>
      <w:bookmarkStart w:id="98" w:name="_Toc152158837"/>
      <w:bookmarkStart w:id="99" w:name="_Toc152142010"/>
      <w:r>
        <w:rPr>
          <w:rFonts w:hint="eastAsia"/>
        </w:rPr>
        <w:t>接种</w:t>
      </w:r>
      <w:bookmarkEnd w:id="96"/>
      <w:bookmarkEnd w:id="97"/>
      <w:bookmarkEnd w:id="98"/>
      <w:bookmarkEnd w:id="99"/>
    </w:p>
    <w:p>
      <w:pPr>
        <w:pStyle w:val="65"/>
        <w:spacing w:before="156" w:after="156"/>
      </w:pPr>
      <w:r>
        <w:rPr>
          <w:rFonts w:hint="eastAsia"/>
        </w:rPr>
        <w:t>接种室准备工作</w:t>
      </w:r>
    </w:p>
    <w:p>
      <w:pPr>
        <w:pStyle w:val="56"/>
        <w:ind w:firstLine="420"/>
      </w:pPr>
      <w:r>
        <w:rPr>
          <w:rFonts w:hint="eastAsia" w:hAnsi="宋体"/>
        </w:rPr>
        <w:t>选择具有净化、智能控温设施的房间或灭菌的封闭式大棚作为接种室。接种室要在菌棒搬入前一天清洁干净并消毒灭菌，再将经过灭菌处理、无破损的菌棒移堆至接种室并盖上薄膜，以防灰尘及杂菌孢子降落。菌棒堆放在接种室不超过一半的空间，堆高不宜超过1.2 m，便于接种和堆叠操作。室温调控到适宜接种的20℃～26℃。</w:t>
      </w:r>
    </w:p>
    <w:p>
      <w:pPr>
        <w:pStyle w:val="65"/>
        <w:spacing w:before="156" w:after="156"/>
      </w:pPr>
      <w:r>
        <w:rPr>
          <w:rFonts w:hint="eastAsia"/>
        </w:rPr>
        <w:t>接种</w:t>
      </w:r>
    </w:p>
    <w:p>
      <w:pPr>
        <w:pStyle w:val="164"/>
      </w:pPr>
      <w:r>
        <w:rPr>
          <w:rFonts w:hint="eastAsia"/>
        </w:rPr>
        <w:t>菌棒预处理：提前2 h采用食用菌专用气雾消毒剂进行菌棒堆膜内消毒；接触菌种人员的手及接种工具用75%的药用酒精擦拭消毒，菌棒表面约5 cm方圆接种部位亦要使用酒精擦拭。在菌棒擦拭处打孔，每段菌棒打3个～4个孔，孔深4 cm～5 cm，不能打穿。</w:t>
      </w:r>
    </w:p>
    <w:p>
      <w:pPr>
        <w:pStyle w:val="164"/>
      </w:pPr>
      <w:r>
        <w:rPr>
          <w:rFonts w:hint="eastAsia"/>
        </w:rPr>
        <w:t>栽培种预处理：用75%的酒精擦拭菌种棒进行灭菌处理，挖去原接种孔及周围的老菌丝，剥去种棒上的塑料袋。</w:t>
      </w:r>
    </w:p>
    <w:p>
      <w:pPr>
        <w:pStyle w:val="164"/>
      </w:pPr>
      <w:r>
        <w:rPr>
          <w:rFonts w:hint="eastAsia"/>
        </w:rPr>
        <w:t>放种：将栽培种掰成锥形，塞入孔内，接种口要坚实，饱满，防止杂菌从空隙侵入。</w:t>
      </w:r>
    </w:p>
    <w:p>
      <w:pPr>
        <w:pStyle w:val="164"/>
      </w:pPr>
      <w:r>
        <w:rPr>
          <w:rFonts w:hint="eastAsia"/>
        </w:rPr>
        <w:t>擦拭→打孔→放种过程的时间要短、动作要快，以降低杂菌侵入几率。</w:t>
      </w:r>
    </w:p>
    <w:p>
      <w:pPr>
        <w:pStyle w:val="105"/>
        <w:spacing w:before="156" w:after="156"/>
        <w:ind w:left="0"/>
      </w:pPr>
      <w:bookmarkStart w:id="100" w:name="_Toc152158838"/>
      <w:bookmarkStart w:id="101" w:name="_Toc152059726"/>
      <w:bookmarkStart w:id="102" w:name="_Toc149839626"/>
      <w:bookmarkStart w:id="103" w:name="_Toc152142011"/>
      <w:r>
        <w:rPr>
          <w:rFonts w:hint="eastAsia"/>
        </w:rPr>
        <w:t>发菌阶段管理</w:t>
      </w:r>
      <w:bookmarkEnd w:id="100"/>
      <w:bookmarkEnd w:id="101"/>
      <w:bookmarkEnd w:id="102"/>
      <w:bookmarkEnd w:id="103"/>
    </w:p>
    <w:p>
      <w:pPr>
        <w:pStyle w:val="56"/>
        <w:ind w:firstLine="420"/>
      </w:pPr>
      <w:r>
        <w:rPr>
          <w:rFonts w:hint="eastAsia" w:hAnsi="宋体"/>
        </w:rPr>
        <w:t>在棚内地面撒一层稀薄的生石灰后，将接好菌种的料袋就地堆柴式排放，接种口一面朝上，堆高6层。待发菌孔菌丝生长至直径约4 cm，堆温不超过25℃，揭开薄膜进行</w:t>
      </w:r>
      <w:r>
        <w:rPr>
          <w:rFonts w:hint="eastAsia" w:hAnsi="宋体"/>
          <w:color w:val="000000"/>
        </w:rPr>
        <w:t>翻堆</w:t>
      </w:r>
      <w:r>
        <w:rPr>
          <w:rFonts w:hint="eastAsia" w:hAnsi="宋体"/>
        </w:rPr>
        <w:t>，防止高温烧菌。发菌期间共进行三次翻堆：</w:t>
      </w:r>
    </w:p>
    <w:p>
      <w:pPr>
        <w:pStyle w:val="132"/>
      </w:pPr>
      <w:r>
        <w:rPr>
          <w:rFonts w:hint="eastAsia"/>
        </w:rPr>
        <w:t>第一次是待菌丝向四周延伸直径达4 cm～6 cm时，揭去封口地膜，将菌袋“井”字型码堆，一层4袋，堆高10层；</w:t>
      </w:r>
    </w:p>
    <w:p>
      <w:pPr>
        <w:pStyle w:val="132"/>
      </w:pPr>
      <w:r>
        <w:rPr>
          <w:rFonts w:hint="eastAsia"/>
        </w:rPr>
        <w:t>第二次于种穴间的菌丝连接后，用针刺接种穴四周，刺孔刺破套袋即可，同时拉大菌袋间距离，每层堆垛由4袋改为3袋，堆高8层；</w:t>
      </w:r>
    </w:p>
    <w:p>
      <w:pPr>
        <w:pStyle w:val="132"/>
      </w:pPr>
      <w:r>
        <w:rPr>
          <w:rFonts w:hint="eastAsia"/>
        </w:rPr>
        <w:t>第三次于菌丝长满料袋时，用钉有小钉的木耙敲打菌棒，使菌棒布满小孔，堆垛由每层3袋改为2袋，堆高8层。</w:t>
      </w:r>
    </w:p>
    <w:p>
      <w:pPr>
        <w:pStyle w:val="105"/>
        <w:spacing w:before="156" w:after="156"/>
        <w:ind w:left="0"/>
      </w:pPr>
      <w:bookmarkStart w:id="104" w:name="_Toc152158839"/>
      <w:bookmarkStart w:id="105" w:name="_Toc152059727"/>
      <w:bookmarkStart w:id="106" w:name="_Toc149839627"/>
      <w:bookmarkStart w:id="107" w:name="_Toc152142012"/>
      <w:r>
        <w:t>出菇阶段管理</w:t>
      </w:r>
      <w:bookmarkEnd w:id="104"/>
      <w:bookmarkEnd w:id="105"/>
      <w:bookmarkEnd w:id="106"/>
      <w:bookmarkEnd w:id="107"/>
    </w:p>
    <w:p>
      <w:pPr>
        <w:pStyle w:val="65"/>
        <w:spacing w:before="156" w:after="156"/>
      </w:pPr>
      <w:r>
        <w:rPr>
          <w:rFonts w:hint="eastAsia"/>
        </w:rPr>
        <w:t>剥袋</w:t>
      </w:r>
    </w:p>
    <w:p>
      <w:pPr>
        <w:pStyle w:val="56"/>
        <w:ind w:firstLine="420"/>
      </w:pPr>
      <w:r>
        <w:rPr>
          <w:rFonts w:hint="eastAsia" w:hAnsi="宋体"/>
        </w:rPr>
        <w:t>接种后60 d～90 d（根据品种确定，菌龄长的需90 d～120 d），当菌棒富有弹性，接种穴四周出现不规则小泡隆起，并出现部分棕褐色色斑时进行剥袋。先向空床面上喷洒一遍水后再剥袋，将菌棒交叉斜靠在架设好的铁丝上，并用中膜覆盖保湿。</w:t>
      </w:r>
    </w:p>
    <w:p>
      <w:pPr>
        <w:pStyle w:val="65"/>
        <w:spacing w:before="156" w:after="156"/>
      </w:pPr>
      <w:r>
        <w:rPr>
          <w:rFonts w:hint="eastAsia"/>
        </w:rPr>
        <w:t>转色</w:t>
      </w:r>
    </w:p>
    <w:p>
      <w:pPr>
        <w:pStyle w:val="56"/>
        <w:ind w:firstLine="420"/>
      </w:pPr>
      <w:r>
        <w:rPr>
          <w:rFonts w:hint="eastAsia" w:hAnsi="宋体"/>
        </w:rPr>
        <w:t>当菌棒布满白色的绒毛菌丝时，掀去中膜通风，降低温度，促使菌丝倒伏。菌棒表面有黄色水珠附着时，用清水淋洗，防止杂菌感染。菌丝倒伏形成一层薄薄的白色菌膜时，每天傍晚喷洒清水一次，待表面水凉干后覆膜，连续进行2 d～3 d，局部开始转色，停止喷水，保持菌棒湿润，促其转色。一般10 d～12 d天就能形成一层薄薄的棕褐色菌膜，完成转色。</w:t>
      </w:r>
    </w:p>
    <w:p>
      <w:pPr>
        <w:pStyle w:val="65"/>
        <w:spacing w:before="156" w:after="156"/>
      </w:pPr>
      <w:r>
        <w:rPr>
          <w:rFonts w:hint="eastAsia"/>
        </w:rPr>
        <w:t>现蕾</w:t>
      </w:r>
    </w:p>
    <w:p>
      <w:pPr>
        <w:pStyle w:val="56"/>
        <w:ind w:firstLine="420"/>
      </w:pPr>
      <w:r>
        <w:rPr>
          <w:rFonts w:hint="eastAsia" w:hAnsi="宋体"/>
        </w:rPr>
        <w:t>转色后，夜间2点，打开大棚两头，降低菇床内温度，上午气温回升时，盖好薄膜增温，持续3天～4天进行变温处理，达到温差刺激直至现蕾。</w:t>
      </w:r>
    </w:p>
    <w:p>
      <w:pPr>
        <w:pStyle w:val="65"/>
        <w:spacing w:before="156" w:after="156"/>
      </w:pPr>
      <w:r>
        <w:rPr>
          <w:rFonts w:hint="eastAsia"/>
        </w:rPr>
        <w:t>催蕾</w:t>
      </w:r>
    </w:p>
    <w:p>
      <w:pPr>
        <w:pStyle w:val="56"/>
        <w:ind w:firstLine="420"/>
      </w:pPr>
      <w:r>
        <w:rPr>
          <w:rFonts w:hint="eastAsia" w:hAnsi="宋体"/>
        </w:rPr>
        <w:t>现蕾后，棚内保持85%～95%的湿度，一周之后，可采收第一批菇。当菌盖尚未完全展开，边缘稍内卷，为采收香菇最适期。采下的鲜菇，要轻放轻取，保持香菇的完整，防止互相挤压损坏，影响品质。每天采收完毕，通风30 min，适量喷水后盖好中膜。</w:t>
      </w:r>
    </w:p>
    <w:p>
      <w:pPr>
        <w:pStyle w:val="65"/>
        <w:spacing w:before="156" w:after="156"/>
      </w:pPr>
      <w:r>
        <w:rPr>
          <w:rFonts w:hint="eastAsia"/>
        </w:rPr>
        <w:t>补水</w:t>
      </w:r>
    </w:p>
    <w:p>
      <w:pPr>
        <w:pStyle w:val="56"/>
        <w:ind w:firstLine="420"/>
      </w:pPr>
      <w:r>
        <w:rPr>
          <w:rFonts w:hint="eastAsia" w:hAnsi="宋体"/>
        </w:rPr>
        <w:t>第一批菇采收结束，停止喷水，揭开菇床中膜，打开大棚两头，加强通风，促使菌棒干燥。7d～10d后当含水量降至30%时，用专用注水针从一头刺入菌棒内，加压注水，使菌棒在短时间内吸足水分（即含水量50%～60%），盖膜催蕾。3 d～5 d后菇蕾渐起，棚内保持85%～95%的相对湿度，一周后可采收第二批菇。补水后菌棒出菇比较集中，一批菇采收结束后，加强通风，菌棒干燥后，将菌棒上下掉头，再补水，按常规催蕾，保湿长菇。补水轻重及休养期长短，随气温变化而变化，秋冬季节温度逐渐下降，休养期延长，注水宜轻，回春之后，气温回升，则休养期渐短，注水逐渐加重（不超过60%）。灌溉用水应符合</w:t>
      </w:r>
      <w:r>
        <w:rPr>
          <w:rFonts w:hint="eastAsia"/>
        </w:rPr>
        <w:t xml:space="preserve"> </w:t>
      </w:r>
      <w:r>
        <w:rPr>
          <w:rFonts w:hint="eastAsia" w:hAnsi="宋体"/>
        </w:rPr>
        <w:t>GB 5084</w:t>
      </w:r>
      <w:r>
        <w:rPr>
          <w:rFonts w:hint="eastAsia"/>
        </w:rPr>
        <w:t xml:space="preserve"> </w:t>
      </w:r>
      <w:r>
        <w:rPr>
          <w:rFonts w:hint="eastAsia" w:hAnsi="宋体"/>
        </w:rPr>
        <w:t>的规定。</w:t>
      </w:r>
    </w:p>
    <w:p>
      <w:pPr>
        <w:pStyle w:val="104"/>
        <w:spacing w:before="312" w:after="312"/>
      </w:pPr>
      <w:bookmarkStart w:id="108" w:name="_Toc114907881"/>
      <w:bookmarkEnd w:id="108"/>
      <w:bookmarkStart w:id="109" w:name="_Toc152142013"/>
      <w:bookmarkStart w:id="110" w:name="_Toc149839628"/>
      <w:bookmarkStart w:id="111" w:name="_Toc152059728"/>
      <w:bookmarkStart w:id="112" w:name="_Toc152158840"/>
      <w:r>
        <w:rPr>
          <w:rFonts w:hint="eastAsia"/>
        </w:rPr>
        <w:t>病虫害防治</w:t>
      </w:r>
      <w:bookmarkEnd w:id="109"/>
      <w:bookmarkEnd w:id="110"/>
      <w:bookmarkEnd w:id="111"/>
      <w:bookmarkEnd w:id="112"/>
    </w:p>
    <w:p>
      <w:pPr>
        <w:pStyle w:val="105"/>
        <w:spacing w:before="156" w:after="156"/>
        <w:ind w:left="0"/>
      </w:pPr>
      <w:bookmarkStart w:id="113" w:name="_Toc152142014"/>
      <w:bookmarkStart w:id="114" w:name="_Toc149839629"/>
      <w:bookmarkStart w:id="115" w:name="_Toc152059729"/>
      <w:bookmarkStart w:id="116" w:name="_Toc152158841"/>
      <w:r>
        <w:rPr>
          <w:rFonts w:hint="eastAsia"/>
        </w:rPr>
        <w:t>防治原则</w:t>
      </w:r>
      <w:bookmarkEnd w:id="113"/>
      <w:bookmarkEnd w:id="114"/>
      <w:bookmarkEnd w:id="115"/>
      <w:bookmarkEnd w:id="116"/>
    </w:p>
    <w:p>
      <w:pPr>
        <w:pStyle w:val="56"/>
        <w:ind w:firstLine="420"/>
      </w:pPr>
      <w:r>
        <w:rPr>
          <w:rFonts w:hint="eastAsia" w:hAnsi="宋体"/>
        </w:rPr>
        <w:t>优先采用物理防治，配合使用化学防治。</w:t>
      </w:r>
    </w:p>
    <w:p>
      <w:pPr>
        <w:pStyle w:val="105"/>
        <w:spacing w:before="156" w:after="156"/>
        <w:ind w:left="0"/>
      </w:pPr>
      <w:bookmarkStart w:id="117" w:name="_Toc152142015"/>
      <w:bookmarkStart w:id="118" w:name="_Toc149839630"/>
      <w:bookmarkStart w:id="119" w:name="_Toc152059730"/>
      <w:bookmarkStart w:id="120" w:name="_Toc152158842"/>
      <w:r>
        <w:t>物理防治</w:t>
      </w:r>
      <w:bookmarkEnd w:id="117"/>
      <w:bookmarkEnd w:id="118"/>
      <w:bookmarkEnd w:id="119"/>
      <w:bookmarkEnd w:id="120"/>
    </w:p>
    <w:p>
      <w:pPr>
        <w:pStyle w:val="56"/>
        <w:ind w:firstLine="420"/>
      </w:pPr>
      <w:r>
        <w:rPr>
          <w:rFonts w:hint="eastAsia" w:hAnsi="宋体"/>
        </w:rPr>
        <w:t>选择新鲜培养料，并在露天曝晒2d～3d灭菌消毒；栽培中加强通风，控制料面积水，避免杂菌产生的环境条件；栽培场所出入口安设60目纱门，防治螨类、菇蝇、跳虫等害虫（螨）迁入，清除棚室周围及内部杂草、杂物、减少成虫隐蔽场所。</w:t>
      </w:r>
    </w:p>
    <w:p>
      <w:pPr>
        <w:pStyle w:val="105"/>
        <w:spacing w:before="156" w:after="156"/>
        <w:ind w:left="0"/>
      </w:pPr>
      <w:bookmarkStart w:id="121" w:name="_Toc152158843"/>
      <w:bookmarkStart w:id="122" w:name="_Toc152059731"/>
      <w:bookmarkStart w:id="123" w:name="_Toc149839631"/>
      <w:bookmarkStart w:id="124" w:name="_Toc152142016"/>
      <w:r>
        <w:rPr>
          <w:rFonts w:hint="eastAsia"/>
        </w:rPr>
        <w:t>化学防治</w:t>
      </w:r>
      <w:bookmarkEnd w:id="121"/>
      <w:bookmarkEnd w:id="122"/>
      <w:bookmarkEnd w:id="123"/>
      <w:bookmarkEnd w:id="124"/>
    </w:p>
    <w:p>
      <w:pPr>
        <w:pStyle w:val="56"/>
        <w:ind w:firstLine="420"/>
      </w:pPr>
      <w:r>
        <w:rPr>
          <w:rFonts w:hint="eastAsia" w:hAnsi="宋体"/>
        </w:rPr>
        <w:t>严格执行GB/T 8321的规定，不使用高毒高残留农药，香菇生产中禁止使用的农药品种见附录B。科学使用农药，注意不同作用机理的农药交替使用和合理使用，以延缓病菌和害虫的抗药性，提高防效。允许使用的低毒农药，每种每茬最多使用2次，施药距采菇期间隔10 d以上。</w:t>
      </w:r>
    </w:p>
    <w:p>
      <w:pPr>
        <w:pStyle w:val="104"/>
        <w:spacing w:before="312" w:after="312"/>
      </w:pPr>
      <w:bookmarkStart w:id="125" w:name="_Toc152059732"/>
      <w:bookmarkStart w:id="126" w:name="_Toc149839632"/>
      <w:bookmarkStart w:id="127" w:name="_Toc152158844"/>
      <w:bookmarkStart w:id="128" w:name="_Toc152142017"/>
      <w:r>
        <w:rPr>
          <w:rFonts w:hint="eastAsia"/>
        </w:rPr>
        <w:t>采收</w:t>
      </w:r>
      <w:bookmarkEnd w:id="125"/>
      <w:bookmarkEnd w:id="126"/>
      <w:bookmarkEnd w:id="127"/>
      <w:bookmarkEnd w:id="128"/>
    </w:p>
    <w:p>
      <w:pPr>
        <w:pStyle w:val="56"/>
        <w:ind w:firstLine="420"/>
      </w:pPr>
      <w:r>
        <w:rPr>
          <w:rFonts w:hint="eastAsia" w:hAnsi="宋体"/>
        </w:rPr>
        <w:t>以香菇子实体成熟度为标准判定采收时间，要在七八成熟时采收。即当香菇菌盖下的内菌膜开始破裂（部分破裂）时，即可开始采收，当内菌膜完全破裂、菌盖边缘仍明显内卷时，则应及时采收。每支香菇棒能采收5～6潮菇，产菇0.75 kg以上。</w:t>
      </w:r>
    </w:p>
    <w:p>
      <w:pPr>
        <w:pStyle w:val="104"/>
        <w:spacing w:before="312" w:after="312"/>
      </w:pPr>
      <w:bookmarkStart w:id="129" w:name="_Toc152142018"/>
      <w:bookmarkStart w:id="130" w:name="_Toc149839633"/>
      <w:bookmarkStart w:id="131" w:name="_Toc152059733"/>
      <w:bookmarkStart w:id="132" w:name="_Toc152158845"/>
      <w:r>
        <w:rPr>
          <w:rFonts w:hint="eastAsia"/>
        </w:rPr>
        <w:t>生产记录</w:t>
      </w:r>
      <w:bookmarkEnd w:id="129"/>
      <w:bookmarkEnd w:id="130"/>
      <w:bookmarkEnd w:id="131"/>
      <w:bookmarkEnd w:id="132"/>
    </w:p>
    <w:p>
      <w:pPr>
        <w:pStyle w:val="56"/>
        <w:ind w:firstLine="420"/>
      </w:pPr>
      <w:r>
        <w:rPr>
          <w:rFonts w:hint="eastAsia" w:hAnsi="宋体"/>
        </w:rPr>
        <w:t>每个生产地块（棚室）应建立独立、完整的生产记录档案，保留生产过程中各个环节的有效记录，以证实所有的农事操作遵循本指导性技术文件规定。生产档案保存2 y以上，以便查阅。</w:t>
      </w:r>
    </w:p>
    <w:p>
      <w:pPr>
        <w:pStyle w:val="56"/>
        <w:ind w:firstLine="0" w:firstLineChars="0"/>
        <w:rPr>
          <w:szCs w:val="21"/>
        </w:rPr>
      </w:pPr>
    </w:p>
    <w:bookmarkEnd w:id="8"/>
    <w:p>
      <w:pPr>
        <w:pStyle w:val="198"/>
      </w:pPr>
    </w:p>
    <w:p>
      <w:pPr>
        <w:pStyle w:val="199"/>
      </w:pPr>
    </w:p>
    <w:p>
      <w:pPr>
        <w:pStyle w:val="76"/>
        <w:pageBreakBefore/>
        <w:spacing w:before="560" w:beforeLines="0" w:afterLines="0"/>
      </w:pPr>
      <w:bookmarkStart w:id="133" w:name="_Toc152142019"/>
      <w:bookmarkEnd w:id="133"/>
      <w:bookmarkStart w:id="134" w:name="_Toc152059734"/>
      <w:bookmarkEnd w:id="134"/>
      <w:bookmarkStart w:id="135" w:name="_Toc152158846"/>
      <w:bookmarkEnd w:id="135"/>
      <w:bookmarkStart w:id="136" w:name="BookMark5"/>
    </w:p>
    <w:p>
      <w:pPr>
        <w:pStyle w:val="76"/>
        <w:numPr>
          <w:ilvl w:val="0"/>
          <w:numId w:val="0"/>
        </w:numPr>
        <w:spacing w:beforeLines="0" w:after="156"/>
      </w:pPr>
      <w:bookmarkStart w:id="137" w:name="_Toc152059735"/>
      <w:bookmarkStart w:id="138" w:name="_Toc152158847"/>
      <w:bookmarkStart w:id="139" w:name="_Toc152142020"/>
      <w:r>
        <w:rPr>
          <w:rFonts w:hint="eastAsia"/>
        </w:rPr>
        <w:t>（规范性）</w:t>
      </w:r>
      <w:r>
        <w:br w:type="textWrapping"/>
      </w:r>
      <w:r>
        <w:rPr>
          <w:rFonts w:hint="eastAsia"/>
        </w:rPr>
        <w:t>大村香菇地理标志地域保护范围</w:t>
      </w:r>
      <w:bookmarkEnd w:id="137"/>
      <w:bookmarkEnd w:id="138"/>
      <w:bookmarkEnd w:id="139"/>
    </w:p>
    <w:p>
      <w:pPr>
        <w:pStyle w:val="56"/>
        <w:ind w:firstLine="420"/>
        <w:rPr>
          <w:szCs w:val="21"/>
        </w:rPr>
      </w:pPr>
      <w:r>
        <w:rPr>
          <w:rFonts w:hint="eastAsia" w:hAnsi="宋体" w:cs="宋体"/>
          <w:szCs w:val="21"/>
        </w:rPr>
        <w:t>大村香菇地理标志地域保护范围为：青岛市黄岛区大村镇中村、前村、大石岭等82个行政村，共计4000亩，年产量15000吨。地理坐标为东经119°30′00″～120°11′00″，北纬35°35′00″～36°08′00″</w:t>
      </w:r>
      <w:r>
        <w:rPr>
          <w:rFonts w:hint="eastAsia"/>
          <w:szCs w:val="21"/>
        </w:rPr>
        <w:t>。</w:t>
      </w:r>
    </w:p>
    <w:p>
      <w:pPr>
        <w:pStyle w:val="83"/>
        <w:numPr>
          <w:ilvl w:val="0"/>
          <w:numId w:val="0"/>
        </w:numPr>
        <w:spacing w:before="156" w:after="156"/>
        <w:rPr>
          <w:szCs w:val="21"/>
        </w:rPr>
      </w:pPr>
      <w:r>
        <w:rPr>
          <w:rFonts w:hint="eastAsia"/>
        </w:rPr>
        <w:drawing>
          <wp:inline distT="0" distB="0" distL="0" distR="0">
            <wp:extent cx="4967605" cy="6573520"/>
            <wp:effectExtent l="0" t="0" r="4445" b="0"/>
            <wp:docPr id="2" name="图片 2" descr="大村香菇 地域保护范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大村香菇 地域保护范围"/>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4968000" cy="6573600"/>
                    </a:xfrm>
                    <a:prstGeom prst="rect">
                      <a:avLst/>
                    </a:prstGeom>
                  </pic:spPr>
                </pic:pic>
              </a:graphicData>
            </a:graphic>
          </wp:inline>
        </w:drawing>
      </w:r>
    </w:p>
    <w:p>
      <w:pPr>
        <w:pStyle w:val="83"/>
        <w:spacing w:before="156" w:after="156"/>
        <w:rPr>
          <w:szCs w:val="21"/>
        </w:rPr>
      </w:pPr>
      <w:r>
        <w:rPr>
          <w:rFonts w:hint="eastAsia" w:hAnsi="宋体" w:cs="宋体"/>
          <w:szCs w:val="21"/>
        </w:rPr>
        <w:t>大村香菇地理标志地域保护范围</w:t>
      </w:r>
    </w:p>
    <w:p>
      <w:pPr>
        <w:pStyle w:val="76"/>
        <w:pageBreakBefore/>
        <w:spacing w:before="560" w:beforeLines="0" w:afterLines="0"/>
      </w:pPr>
      <w:bookmarkStart w:id="140" w:name="_Toc152158848"/>
      <w:bookmarkEnd w:id="140"/>
      <w:bookmarkStart w:id="141" w:name="_Toc152059736"/>
      <w:bookmarkEnd w:id="141"/>
      <w:bookmarkStart w:id="142" w:name="_Toc152142021"/>
      <w:bookmarkEnd w:id="142"/>
    </w:p>
    <w:p>
      <w:pPr>
        <w:pStyle w:val="76"/>
        <w:numPr>
          <w:ilvl w:val="0"/>
          <w:numId w:val="0"/>
        </w:numPr>
        <w:spacing w:before="78" w:after="156"/>
      </w:pPr>
      <w:bookmarkStart w:id="143" w:name="_Toc152142022"/>
      <w:bookmarkStart w:id="144" w:name="_Toc152059737"/>
      <w:bookmarkStart w:id="145" w:name="_Toc152158849"/>
      <w:r>
        <w:rPr>
          <w:rFonts w:hint="eastAsia"/>
        </w:rPr>
        <w:t>（资料性）</w:t>
      </w:r>
      <w:r>
        <w:br w:type="textWrapping"/>
      </w:r>
      <w:r>
        <w:rPr>
          <w:rFonts w:hAnsi="黑体" w:cs="黑体"/>
          <w:spacing w:val="-1"/>
          <w:szCs w:val="21"/>
        </w:rPr>
        <w:t>香菇生产中禁止使用的农药</w:t>
      </w:r>
      <w:r>
        <w:rPr>
          <w:rFonts w:hint="eastAsia" w:hAnsi="黑体" w:cs="黑体"/>
          <w:spacing w:val="-1"/>
          <w:szCs w:val="21"/>
        </w:rPr>
        <w:t>名录</w:t>
      </w:r>
      <w:bookmarkEnd w:id="143"/>
      <w:bookmarkEnd w:id="144"/>
      <w:bookmarkEnd w:id="145"/>
    </w:p>
    <w:p>
      <w:pPr>
        <w:pStyle w:val="56"/>
        <w:ind w:firstLine="420"/>
      </w:pPr>
      <w:r>
        <w:rPr>
          <w:rFonts w:hint="eastAsia"/>
          <w:szCs w:val="21"/>
        </w:rPr>
        <w:t>六六六、滴滴涕、毒杀芬、二溴氯丙烷、杀虫脒、二溴乙烷、除草醚、艾氏剂、狄氏剂、汞制剂、砷类、铅类、敌枯双、氟乙酰胺、甘氟、毒鼠强、氟乙酸钠、毒鼠硅、甲胺磷、对硫磷、甲基对硫磷、久效磷、磷胺、苯线磷、地虫硫磷、甲基硫环磷、磷化钙、磷化镁、磷化锌、硫线磷、蝇毒磷、治螟磷、特丁硫磷、氯磺隆、胺苯磺隆、甲磺隆、福美胂、福美甲胂、三氯杀螨醇、林丹、硫丹、氟虫胺、杀扑磷、百草枯、灭蚁灵、氯丹、2,4-滴丁酯、甲拌磷、甲基异柳磷、水胺硫磷、灭线磷、溴甲烷、氧乐果、灭多威、涕灭威、克百威、乙酰甲胺磷、丁硫克百威、乐果。</w:t>
      </w:r>
    </w:p>
    <w:p>
      <w:pPr>
        <w:pStyle w:val="56"/>
        <w:ind w:firstLine="420"/>
        <w:rPr>
          <w:szCs w:val="21"/>
        </w:rPr>
      </w:pPr>
    </w:p>
    <w:bookmarkEnd w:id="136"/>
    <w:p>
      <w:pPr>
        <w:pStyle w:val="56"/>
        <w:ind w:firstLine="199" w:firstLineChars="95"/>
        <w:rPr>
          <w:szCs w:val="21"/>
        </w:rPr>
      </w:pPr>
    </w:p>
    <w:p>
      <w:pPr>
        <w:pStyle w:val="56"/>
        <w:ind w:firstLine="0" w:firstLineChars="0"/>
        <w:jc w:val="center"/>
      </w:pPr>
      <w:bookmarkStart w:id="146"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6"/>
    </w:p>
    <w:p>
      <w:pPr>
        <w:pStyle w:val="56"/>
        <w:ind w:firstLine="0" w:firstLineChars="0"/>
        <w:jc w:val="center"/>
      </w:pPr>
    </w:p>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sz w:val="21"/>
        <w:szCs w:val="21"/>
      </w:rPr>
    </w:pPr>
    <w:r>
      <w:rPr>
        <w:rFonts w:hint="eastAsia" w:ascii="黑体" w:hAnsi="黑体" w:eastAsia="黑体"/>
        <w:sz w:val="21"/>
        <w:szCs w:val="21"/>
      </w:rPr>
      <w:t>DBNY 3702/T 0010</w:t>
    </w:r>
    <w:r>
      <w:rPr>
        <w:rFonts w:ascii="黑体" w:hAnsi="黑体" w:eastAsia="黑体"/>
        <w:sz w:val="21"/>
        <w:szCs w:val="21"/>
      </w:rPr>
      <w:t>-</w:t>
    </w:r>
    <w:r>
      <w:rPr>
        <w:rFonts w:hint="eastAsia" w:ascii="黑体" w:hAnsi="黑体" w:eastAsia="黑体"/>
        <w:sz w:val="21"/>
        <w:szCs w:val="21"/>
      </w:rPr>
      <w:t>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 xml:space="preserve">DB3702/T 26.1—2023 </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 xml:space="preserve">DB3702/T 26.1—2023 </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 xml:space="preserve">DB3702/T 26.1—2023 </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 xml:space="preserve">DB3702/T 26.1—2023 </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 xml:space="preserve">DB3702/T 26.1—2023 </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 xml:space="preserve">DB3702/T 26.1—2023 </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pStyle w:val="239"/>
      <w:lvlText w:val="%2)"/>
      <w:lvlJc w:val="left"/>
      <w:pPr>
        <w:tabs>
          <w:tab w:val="left" w:pos="840"/>
        </w:tabs>
        <w:ind w:left="840" w:hanging="420"/>
      </w:pPr>
    </w:lvl>
    <w:lvl w:ilvl="2" w:tentative="0">
      <w:start w:val="1"/>
      <w:numFmt w:val="lowerRoman"/>
      <w:pStyle w:val="238"/>
      <w:lvlText w:val="%3."/>
      <w:lvlJc w:val="right"/>
      <w:pPr>
        <w:tabs>
          <w:tab w:val="left" w:pos="1260"/>
        </w:tabs>
        <w:ind w:left="1260" w:hanging="420"/>
      </w:pPr>
    </w:lvl>
    <w:lvl w:ilvl="3" w:tentative="0">
      <w:start w:val="1"/>
      <w:numFmt w:val="decimal"/>
      <w:pStyle w:val="237"/>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426" w:firstLine="0"/>
      </w:pPr>
      <w:rPr>
        <w:rFonts w:hint="eastAsia" w:ascii="黑体" w:eastAsia="黑体"/>
        <w:b w:val="0"/>
        <w:i w:val="0"/>
        <w:sz w:val="21"/>
      </w:rPr>
    </w:lvl>
    <w:lvl w:ilvl="4" w:tentative="0">
      <w:start w:val="1"/>
      <w:numFmt w:val="decimal"/>
      <w:pStyle w:val="94"/>
      <w:suff w:val="nothing"/>
      <w:lvlText w:val="%1%2.%3.%4.%5　"/>
      <w:lvlJc w:val="left"/>
      <w:pPr>
        <w:ind w:left="71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kY2MwYmE3ZDUwYjVmNWZiMzc5YjM0OGE1OWQ3MmIifQ=="/>
  </w:docVars>
  <w:rsids>
    <w:rsidRoot w:val="00BF39FB"/>
    <w:rsid w:val="0000040A"/>
    <w:rsid w:val="00000A94"/>
    <w:rsid w:val="00001972"/>
    <w:rsid w:val="00001D9A"/>
    <w:rsid w:val="0000392C"/>
    <w:rsid w:val="00007B3A"/>
    <w:rsid w:val="000107E0"/>
    <w:rsid w:val="00011FDE"/>
    <w:rsid w:val="00012FFD"/>
    <w:rsid w:val="00014162"/>
    <w:rsid w:val="00014340"/>
    <w:rsid w:val="00016A9C"/>
    <w:rsid w:val="00022184"/>
    <w:rsid w:val="00022762"/>
    <w:rsid w:val="000238E0"/>
    <w:rsid w:val="000249DB"/>
    <w:rsid w:val="0002595E"/>
    <w:rsid w:val="000303C3"/>
    <w:rsid w:val="000321B3"/>
    <w:rsid w:val="000331D3"/>
    <w:rsid w:val="000346A5"/>
    <w:rsid w:val="000359C3"/>
    <w:rsid w:val="00035A7D"/>
    <w:rsid w:val="000365ED"/>
    <w:rsid w:val="0004249A"/>
    <w:rsid w:val="00043282"/>
    <w:rsid w:val="00044286"/>
    <w:rsid w:val="000464E2"/>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714"/>
    <w:rsid w:val="00067F1E"/>
    <w:rsid w:val="00071CC0"/>
    <w:rsid w:val="00073C8C"/>
    <w:rsid w:val="00077B64"/>
    <w:rsid w:val="00080A1C"/>
    <w:rsid w:val="00081A02"/>
    <w:rsid w:val="00082317"/>
    <w:rsid w:val="00083D2C"/>
    <w:rsid w:val="00086AA1"/>
    <w:rsid w:val="0008781B"/>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28A"/>
    <w:rsid w:val="001852C9"/>
    <w:rsid w:val="00190087"/>
    <w:rsid w:val="001913C4"/>
    <w:rsid w:val="0019348F"/>
    <w:rsid w:val="00193A07"/>
    <w:rsid w:val="00194C95"/>
    <w:rsid w:val="00195C34"/>
    <w:rsid w:val="00196EF5"/>
    <w:rsid w:val="001971A2"/>
    <w:rsid w:val="001A1A53"/>
    <w:rsid w:val="001A234A"/>
    <w:rsid w:val="001A4CF3"/>
    <w:rsid w:val="001B06E8"/>
    <w:rsid w:val="001B0E4C"/>
    <w:rsid w:val="001B1971"/>
    <w:rsid w:val="001B71D0"/>
    <w:rsid w:val="001B71EE"/>
    <w:rsid w:val="001C04A8"/>
    <w:rsid w:val="001C2C03"/>
    <w:rsid w:val="001C42F7"/>
    <w:rsid w:val="001C49E5"/>
    <w:rsid w:val="001C680C"/>
    <w:rsid w:val="001C7FEA"/>
    <w:rsid w:val="001D0499"/>
    <w:rsid w:val="001D0BBE"/>
    <w:rsid w:val="001D0ED4"/>
    <w:rsid w:val="001D19D6"/>
    <w:rsid w:val="001D212F"/>
    <w:rsid w:val="001D29D7"/>
    <w:rsid w:val="001D2DE7"/>
    <w:rsid w:val="001D411C"/>
    <w:rsid w:val="001E1B6A"/>
    <w:rsid w:val="001E2484"/>
    <w:rsid w:val="001E3CC4"/>
    <w:rsid w:val="001E4882"/>
    <w:rsid w:val="001E73AB"/>
    <w:rsid w:val="001F092D"/>
    <w:rsid w:val="001F143A"/>
    <w:rsid w:val="001F1585"/>
    <w:rsid w:val="001F1605"/>
    <w:rsid w:val="001F2508"/>
    <w:rsid w:val="001F4816"/>
    <w:rsid w:val="001F69B4"/>
    <w:rsid w:val="001F77C7"/>
    <w:rsid w:val="00200183"/>
    <w:rsid w:val="00200333"/>
    <w:rsid w:val="0020107D"/>
    <w:rsid w:val="00202AA4"/>
    <w:rsid w:val="002031F7"/>
    <w:rsid w:val="002040E6"/>
    <w:rsid w:val="0020527B"/>
    <w:rsid w:val="00205F2C"/>
    <w:rsid w:val="00206FF1"/>
    <w:rsid w:val="00210B15"/>
    <w:rsid w:val="002142EA"/>
    <w:rsid w:val="00215469"/>
    <w:rsid w:val="00216218"/>
    <w:rsid w:val="00217BA0"/>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864"/>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5C3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1"/>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DA2"/>
    <w:rsid w:val="00324D13"/>
    <w:rsid w:val="00324EDD"/>
    <w:rsid w:val="003331E4"/>
    <w:rsid w:val="00336C64"/>
    <w:rsid w:val="00337162"/>
    <w:rsid w:val="0034194F"/>
    <w:rsid w:val="0034366C"/>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6E5"/>
    <w:rsid w:val="003974EB"/>
    <w:rsid w:val="00397CC5"/>
    <w:rsid w:val="00397DF8"/>
    <w:rsid w:val="003A1469"/>
    <w:rsid w:val="003A1582"/>
    <w:rsid w:val="003A4077"/>
    <w:rsid w:val="003A75D7"/>
    <w:rsid w:val="003B09AD"/>
    <w:rsid w:val="003B1F18"/>
    <w:rsid w:val="003B5BF0"/>
    <w:rsid w:val="003B60BF"/>
    <w:rsid w:val="003B6BE3"/>
    <w:rsid w:val="003C010C"/>
    <w:rsid w:val="003C0A6C"/>
    <w:rsid w:val="003C14F8"/>
    <w:rsid w:val="003C55E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71D"/>
    <w:rsid w:val="00405884"/>
    <w:rsid w:val="00407D39"/>
    <w:rsid w:val="00413507"/>
    <w:rsid w:val="0041477A"/>
    <w:rsid w:val="004167A3"/>
    <w:rsid w:val="00417EF4"/>
    <w:rsid w:val="00432DAA"/>
    <w:rsid w:val="00434305"/>
    <w:rsid w:val="00435DF7"/>
    <w:rsid w:val="004400CD"/>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1D5E"/>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EAB"/>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6C7"/>
    <w:rsid w:val="00543BDA"/>
    <w:rsid w:val="005441CC"/>
    <w:rsid w:val="005479DA"/>
    <w:rsid w:val="00547BCC"/>
    <w:rsid w:val="0055013B"/>
    <w:rsid w:val="005505A3"/>
    <w:rsid w:val="00551F6F"/>
    <w:rsid w:val="00555044"/>
    <w:rsid w:val="00561475"/>
    <w:rsid w:val="0056487B"/>
    <w:rsid w:val="00564FB9"/>
    <w:rsid w:val="00573D9E"/>
    <w:rsid w:val="00574F7B"/>
    <w:rsid w:val="005801E3"/>
    <w:rsid w:val="00581802"/>
    <w:rsid w:val="005836A8"/>
    <w:rsid w:val="0058409C"/>
    <w:rsid w:val="00584262"/>
    <w:rsid w:val="00586630"/>
    <w:rsid w:val="00587ADD"/>
    <w:rsid w:val="005907F2"/>
    <w:rsid w:val="00596160"/>
    <w:rsid w:val="005966E2"/>
    <w:rsid w:val="00596AC5"/>
    <w:rsid w:val="00597007"/>
    <w:rsid w:val="005A0966"/>
    <w:rsid w:val="005A11B7"/>
    <w:rsid w:val="005A260B"/>
    <w:rsid w:val="005A3DCF"/>
    <w:rsid w:val="005A4A1B"/>
    <w:rsid w:val="005A7830"/>
    <w:rsid w:val="005A7FCE"/>
    <w:rsid w:val="005B0F3F"/>
    <w:rsid w:val="005B4903"/>
    <w:rsid w:val="005B51CE"/>
    <w:rsid w:val="005B5885"/>
    <w:rsid w:val="005B5CD7"/>
    <w:rsid w:val="005B6CF6"/>
    <w:rsid w:val="005B7422"/>
    <w:rsid w:val="005C29B8"/>
    <w:rsid w:val="005C5F21"/>
    <w:rsid w:val="005C7156"/>
    <w:rsid w:val="005C782E"/>
    <w:rsid w:val="005D0C75"/>
    <w:rsid w:val="005D1F94"/>
    <w:rsid w:val="005D4171"/>
    <w:rsid w:val="005D6A95"/>
    <w:rsid w:val="005D6B2C"/>
    <w:rsid w:val="005D6D9C"/>
    <w:rsid w:val="005E2335"/>
    <w:rsid w:val="005E34CA"/>
    <w:rsid w:val="005E3C18"/>
    <w:rsid w:val="005E6812"/>
    <w:rsid w:val="005E7881"/>
    <w:rsid w:val="005E78E0"/>
    <w:rsid w:val="005F0D9C"/>
    <w:rsid w:val="005F284E"/>
    <w:rsid w:val="005F7D8F"/>
    <w:rsid w:val="006015CE"/>
    <w:rsid w:val="00604784"/>
    <w:rsid w:val="006047F9"/>
    <w:rsid w:val="00606419"/>
    <w:rsid w:val="00607D29"/>
    <w:rsid w:val="00612952"/>
    <w:rsid w:val="00614CC1"/>
    <w:rsid w:val="00615A9D"/>
    <w:rsid w:val="00617387"/>
    <w:rsid w:val="006205D6"/>
    <w:rsid w:val="006252D8"/>
    <w:rsid w:val="006259BC"/>
    <w:rsid w:val="0062636B"/>
    <w:rsid w:val="00632182"/>
    <w:rsid w:val="00632AE0"/>
    <w:rsid w:val="00633C17"/>
    <w:rsid w:val="006340AD"/>
    <w:rsid w:val="00634D9E"/>
    <w:rsid w:val="00636E3E"/>
    <w:rsid w:val="006379F7"/>
    <w:rsid w:val="00637E4D"/>
    <w:rsid w:val="00640620"/>
    <w:rsid w:val="00641A1F"/>
    <w:rsid w:val="00643364"/>
    <w:rsid w:val="00645904"/>
    <w:rsid w:val="00651ACB"/>
    <w:rsid w:val="00651C47"/>
    <w:rsid w:val="00652AB2"/>
    <w:rsid w:val="00653516"/>
    <w:rsid w:val="00653FED"/>
    <w:rsid w:val="00654EC0"/>
    <w:rsid w:val="0065525B"/>
    <w:rsid w:val="00655C55"/>
    <w:rsid w:val="00655D4F"/>
    <w:rsid w:val="00656D29"/>
    <w:rsid w:val="006640E5"/>
    <w:rsid w:val="006646F1"/>
    <w:rsid w:val="00664929"/>
    <w:rsid w:val="00664F62"/>
    <w:rsid w:val="006655E1"/>
    <w:rsid w:val="006676E9"/>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579A"/>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7047"/>
    <w:rsid w:val="007002C5"/>
    <w:rsid w:val="00704387"/>
    <w:rsid w:val="00707669"/>
    <w:rsid w:val="00711CBA"/>
    <w:rsid w:val="00711FB5"/>
    <w:rsid w:val="00712A01"/>
    <w:rsid w:val="00714F58"/>
    <w:rsid w:val="00722FBF"/>
    <w:rsid w:val="00722FC2"/>
    <w:rsid w:val="00724B7F"/>
    <w:rsid w:val="00724E1B"/>
    <w:rsid w:val="00725949"/>
    <w:rsid w:val="00727FA2"/>
    <w:rsid w:val="007322D9"/>
    <w:rsid w:val="00732BC0"/>
    <w:rsid w:val="0073720F"/>
    <w:rsid w:val="00737796"/>
    <w:rsid w:val="0074018C"/>
    <w:rsid w:val="0074165C"/>
    <w:rsid w:val="00742C35"/>
    <w:rsid w:val="007432CA"/>
    <w:rsid w:val="007439EB"/>
    <w:rsid w:val="00743CB4"/>
    <w:rsid w:val="00743F0A"/>
    <w:rsid w:val="007444E8"/>
    <w:rsid w:val="0074548E"/>
    <w:rsid w:val="00745773"/>
    <w:rsid w:val="00746800"/>
    <w:rsid w:val="007501A8"/>
    <w:rsid w:val="00750D61"/>
    <w:rsid w:val="00750EE1"/>
    <w:rsid w:val="00751B3B"/>
    <w:rsid w:val="00752B4D"/>
    <w:rsid w:val="00755402"/>
    <w:rsid w:val="007565BE"/>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1B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3948"/>
    <w:rsid w:val="007C4593"/>
    <w:rsid w:val="007C5309"/>
    <w:rsid w:val="007C6069"/>
    <w:rsid w:val="007D06C4"/>
    <w:rsid w:val="007D1001"/>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8FC"/>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BF2"/>
    <w:rsid w:val="008F4C29"/>
    <w:rsid w:val="008F70BD"/>
    <w:rsid w:val="008F788F"/>
    <w:rsid w:val="008F7EA2"/>
    <w:rsid w:val="00902722"/>
    <w:rsid w:val="009027BC"/>
    <w:rsid w:val="00903F34"/>
    <w:rsid w:val="009062E6"/>
    <w:rsid w:val="0091148A"/>
    <w:rsid w:val="009118CD"/>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729A"/>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2983"/>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0588"/>
    <w:rsid w:val="00A41C79"/>
    <w:rsid w:val="00A41CB5"/>
    <w:rsid w:val="00A42CDF"/>
    <w:rsid w:val="00A4452E"/>
    <w:rsid w:val="00A4472C"/>
    <w:rsid w:val="00A44E69"/>
    <w:rsid w:val="00A4661E"/>
    <w:rsid w:val="00A47CD9"/>
    <w:rsid w:val="00A55BD6"/>
    <w:rsid w:val="00A55D50"/>
    <w:rsid w:val="00A57142"/>
    <w:rsid w:val="00A60E4B"/>
    <w:rsid w:val="00A648CD"/>
    <w:rsid w:val="00A6537A"/>
    <w:rsid w:val="00A67866"/>
    <w:rsid w:val="00A70B07"/>
    <w:rsid w:val="00A723F8"/>
    <w:rsid w:val="00A77CCB"/>
    <w:rsid w:val="00A83D8D"/>
    <w:rsid w:val="00A8446B"/>
    <w:rsid w:val="00A8468D"/>
    <w:rsid w:val="00A8473F"/>
    <w:rsid w:val="00A862D6"/>
    <w:rsid w:val="00A8715E"/>
    <w:rsid w:val="00A9295B"/>
    <w:rsid w:val="00A93B09"/>
    <w:rsid w:val="00A952D7"/>
    <w:rsid w:val="00A963F7"/>
    <w:rsid w:val="00A96AC1"/>
    <w:rsid w:val="00A96AD8"/>
    <w:rsid w:val="00AA052C"/>
    <w:rsid w:val="00AA1E45"/>
    <w:rsid w:val="00AA4286"/>
    <w:rsid w:val="00AA456B"/>
    <w:rsid w:val="00AA4F2A"/>
    <w:rsid w:val="00AA57F5"/>
    <w:rsid w:val="00AA672E"/>
    <w:rsid w:val="00AA6EC9"/>
    <w:rsid w:val="00AB6309"/>
    <w:rsid w:val="00AB6C5F"/>
    <w:rsid w:val="00AB7129"/>
    <w:rsid w:val="00AB7732"/>
    <w:rsid w:val="00AC0E98"/>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B40"/>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4613"/>
    <w:rsid w:val="00B758BF"/>
    <w:rsid w:val="00B77EC8"/>
    <w:rsid w:val="00B827A6"/>
    <w:rsid w:val="00B831CE"/>
    <w:rsid w:val="00B86677"/>
    <w:rsid w:val="00B87131"/>
    <w:rsid w:val="00B939B1"/>
    <w:rsid w:val="00B96D40"/>
    <w:rsid w:val="00B97386"/>
    <w:rsid w:val="00B97F00"/>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306D"/>
    <w:rsid w:val="00BE5B52"/>
    <w:rsid w:val="00BE7B8D"/>
    <w:rsid w:val="00BF0993"/>
    <w:rsid w:val="00BF10A9"/>
    <w:rsid w:val="00BF1703"/>
    <w:rsid w:val="00BF231C"/>
    <w:rsid w:val="00BF39FB"/>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3381"/>
    <w:rsid w:val="00C44BF5"/>
    <w:rsid w:val="00C464B4"/>
    <w:rsid w:val="00C521D6"/>
    <w:rsid w:val="00C55232"/>
    <w:rsid w:val="00C553A4"/>
    <w:rsid w:val="00C55A06"/>
    <w:rsid w:val="00C55D03"/>
    <w:rsid w:val="00C601BC"/>
    <w:rsid w:val="00C6329F"/>
    <w:rsid w:val="00C63340"/>
    <w:rsid w:val="00C643F9"/>
    <w:rsid w:val="00C64E95"/>
    <w:rsid w:val="00C65D8B"/>
    <w:rsid w:val="00C67330"/>
    <w:rsid w:val="00C71372"/>
    <w:rsid w:val="00C72410"/>
    <w:rsid w:val="00C7287F"/>
    <w:rsid w:val="00C80CB8"/>
    <w:rsid w:val="00C819F8"/>
    <w:rsid w:val="00C8248C"/>
    <w:rsid w:val="00C84E33"/>
    <w:rsid w:val="00C85A78"/>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6AA"/>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3C7F"/>
    <w:rsid w:val="00D06AB1"/>
    <w:rsid w:val="00D072ED"/>
    <w:rsid w:val="00D074FC"/>
    <w:rsid w:val="00D07A16"/>
    <w:rsid w:val="00D1067E"/>
    <w:rsid w:val="00D10F50"/>
    <w:rsid w:val="00D11272"/>
    <w:rsid w:val="00D126F5"/>
    <w:rsid w:val="00D1489E"/>
    <w:rsid w:val="00D20737"/>
    <w:rsid w:val="00D21E81"/>
    <w:rsid w:val="00D223DE"/>
    <w:rsid w:val="00D25E37"/>
    <w:rsid w:val="00D2661A"/>
    <w:rsid w:val="00D27582"/>
    <w:rsid w:val="00D27EC4"/>
    <w:rsid w:val="00D303F7"/>
    <w:rsid w:val="00D32719"/>
    <w:rsid w:val="00D33333"/>
    <w:rsid w:val="00D352A2"/>
    <w:rsid w:val="00D4162B"/>
    <w:rsid w:val="00D4514F"/>
    <w:rsid w:val="00D451E2"/>
    <w:rsid w:val="00D45E89"/>
    <w:rsid w:val="00D45E8D"/>
    <w:rsid w:val="00D466AE"/>
    <w:rsid w:val="00D4734F"/>
    <w:rsid w:val="00D51BF3"/>
    <w:rsid w:val="00D66846"/>
    <w:rsid w:val="00D675FB"/>
    <w:rsid w:val="00D70D0C"/>
    <w:rsid w:val="00D71F25"/>
    <w:rsid w:val="00D72A9C"/>
    <w:rsid w:val="00D77031"/>
    <w:rsid w:val="00D82574"/>
    <w:rsid w:val="00D84941"/>
    <w:rsid w:val="00D84FA1"/>
    <w:rsid w:val="00D851F0"/>
    <w:rsid w:val="00D86DB7"/>
    <w:rsid w:val="00D8728F"/>
    <w:rsid w:val="00D926D0"/>
    <w:rsid w:val="00D93030"/>
    <w:rsid w:val="00D950E1"/>
    <w:rsid w:val="00D952A6"/>
    <w:rsid w:val="00D97F99"/>
    <w:rsid w:val="00DA1E08"/>
    <w:rsid w:val="00DA24F8"/>
    <w:rsid w:val="00DA28E8"/>
    <w:rsid w:val="00DA38D3"/>
    <w:rsid w:val="00DA3932"/>
    <w:rsid w:val="00DA3AFC"/>
    <w:rsid w:val="00DA4EB7"/>
    <w:rsid w:val="00DA64F8"/>
    <w:rsid w:val="00DA6C15"/>
    <w:rsid w:val="00DB0258"/>
    <w:rsid w:val="00DB38EE"/>
    <w:rsid w:val="00DB498B"/>
    <w:rsid w:val="00DB66CA"/>
    <w:rsid w:val="00DB6BCA"/>
    <w:rsid w:val="00DB73F7"/>
    <w:rsid w:val="00DC0321"/>
    <w:rsid w:val="00DC3067"/>
    <w:rsid w:val="00DC370B"/>
    <w:rsid w:val="00DC5591"/>
    <w:rsid w:val="00DC5B90"/>
    <w:rsid w:val="00DD00FF"/>
    <w:rsid w:val="00DD0619"/>
    <w:rsid w:val="00DD07FB"/>
    <w:rsid w:val="00DD1BD3"/>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379"/>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4E2"/>
    <w:rsid w:val="00E56800"/>
    <w:rsid w:val="00E60C63"/>
    <w:rsid w:val="00E62FF9"/>
    <w:rsid w:val="00E635D6"/>
    <w:rsid w:val="00E639BC"/>
    <w:rsid w:val="00E654C9"/>
    <w:rsid w:val="00E664CC"/>
    <w:rsid w:val="00E70388"/>
    <w:rsid w:val="00E70F92"/>
    <w:rsid w:val="00E74097"/>
    <w:rsid w:val="00E74C54"/>
    <w:rsid w:val="00E77A03"/>
    <w:rsid w:val="00E822E8"/>
    <w:rsid w:val="00E82554"/>
    <w:rsid w:val="00E82606"/>
    <w:rsid w:val="00E846C8"/>
    <w:rsid w:val="00E84957"/>
    <w:rsid w:val="00E84A55"/>
    <w:rsid w:val="00E85BFF"/>
    <w:rsid w:val="00E87A1A"/>
    <w:rsid w:val="00E90391"/>
    <w:rsid w:val="00E906C2"/>
    <w:rsid w:val="00E9311F"/>
    <w:rsid w:val="00E934D1"/>
    <w:rsid w:val="00E94AF0"/>
    <w:rsid w:val="00E95D13"/>
    <w:rsid w:val="00E95DD3"/>
    <w:rsid w:val="00E969D5"/>
    <w:rsid w:val="00EA233A"/>
    <w:rsid w:val="00EA58D1"/>
    <w:rsid w:val="00EA61BC"/>
    <w:rsid w:val="00EA681A"/>
    <w:rsid w:val="00EA735B"/>
    <w:rsid w:val="00EB1E69"/>
    <w:rsid w:val="00EB2086"/>
    <w:rsid w:val="00EB5EDF"/>
    <w:rsid w:val="00EB60FE"/>
    <w:rsid w:val="00EB74DB"/>
    <w:rsid w:val="00EC5359"/>
    <w:rsid w:val="00EC562A"/>
    <w:rsid w:val="00ED067A"/>
    <w:rsid w:val="00ED2B50"/>
    <w:rsid w:val="00ED51D5"/>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37F"/>
    <w:rsid w:val="00F81FC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ACE"/>
    <w:rsid w:val="00FE7E79"/>
    <w:rsid w:val="00FF3E7D"/>
    <w:rsid w:val="00FF5B99"/>
    <w:rsid w:val="00FF730C"/>
    <w:rsid w:val="00FF73F4"/>
    <w:rsid w:val="00FF7CE4"/>
    <w:rsid w:val="00FF7E39"/>
    <w:rsid w:val="01161381"/>
    <w:rsid w:val="014F3EE5"/>
    <w:rsid w:val="01D46B46"/>
    <w:rsid w:val="02072095"/>
    <w:rsid w:val="02BA6745"/>
    <w:rsid w:val="0461566D"/>
    <w:rsid w:val="048221D3"/>
    <w:rsid w:val="04E90E00"/>
    <w:rsid w:val="051E0804"/>
    <w:rsid w:val="05D1385B"/>
    <w:rsid w:val="05FE4192"/>
    <w:rsid w:val="06224324"/>
    <w:rsid w:val="06733871"/>
    <w:rsid w:val="06964C86"/>
    <w:rsid w:val="06E520C9"/>
    <w:rsid w:val="076B1CFB"/>
    <w:rsid w:val="07DE24CD"/>
    <w:rsid w:val="08374A3D"/>
    <w:rsid w:val="08674470"/>
    <w:rsid w:val="087D61BE"/>
    <w:rsid w:val="092D5890"/>
    <w:rsid w:val="095E38C5"/>
    <w:rsid w:val="09AD65FB"/>
    <w:rsid w:val="0A0A75A9"/>
    <w:rsid w:val="0A0D3B9D"/>
    <w:rsid w:val="0AB05605"/>
    <w:rsid w:val="0B117723"/>
    <w:rsid w:val="0C5D3248"/>
    <w:rsid w:val="0D266260"/>
    <w:rsid w:val="0D653929"/>
    <w:rsid w:val="0D9F5085"/>
    <w:rsid w:val="0DC83A03"/>
    <w:rsid w:val="0E317C63"/>
    <w:rsid w:val="0E6574A4"/>
    <w:rsid w:val="103F3D25"/>
    <w:rsid w:val="104135F9"/>
    <w:rsid w:val="10B97633"/>
    <w:rsid w:val="10FE0FAC"/>
    <w:rsid w:val="11641C95"/>
    <w:rsid w:val="11D17C47"/>
    <w:rsid w:val="12061235"/>
    <w:rsid w:val="123F59E2"/>
    <w:rsid w:val="12A9319D"/>
    <w:rsid w:val="12C66037"/>
    <w:rsid w:val="131B695B"/>
    <w:rsid w:val="134E1CE9"/>
    <w:rsid w:val="13BB1914"/>
    <w:rsid w:val="13FA0AFC"/>
    <w:rsid w:val="14110BE4"/>
    <w:rsid w:val="14344857"/>
    <w:rsid w:val="144162BD"/>
    <w:rsid w:val="145A112D"/>
    <w:rsid w:val="158A3CEC"/>
    <w:rsid w:val="16020017"/>
    <w:rsid w:val="16DE7DF3"/>
    <w:rsid w:val="172B1350"/>
    <w:rsid w:val="175E104C"/>
    <w:rsid w:val="184130BA"/>
    <w:rsid w:val="19263CD4"/>
    <w:rsid w:val="196B5A91"/>
    <w:rsid w:val="19766A09"/>
    <w:rsid w:val="19802389"/>
    <w:rsid w:val="1A78055F"/>
    <w:rsid w:val="1ABA46D4"/>
    <w:rsid w:val="1B562590"/>
    <w:rsid w:val="1BF260EF"/>
    <w:rsid w:val="1C3D380E"/>
    <w:rsid w:val="1C4E1577"/>
    <w:rsid w:val="1C760ACE"/>
    <w:rsid w:val="1D222AA8"/>
    <w:rsid w:val="1D5C1A72"/>
    <w:rsid w:val="1D60136F"/>
    <w:rsid w:val="1E37603B"/>
    <w:rsid w:val="1E6C7CDF"/>
    <w:rsid w:val="1F372797"/>
    <w:rsid w:val="1F3C3740"/>
    <w:rsid w:val="1F433DD7"/>
    <w:rsid w:val="200C01F2"/>
    <w:rsid w:val="22FE5379"/>
    <w:rsid w:val="239418A4"/>
    <w:rsid w:val="243527F7"/>
    <w:rsid w:val="24577437"/>
    <w:rsid w:val="24F44C86"/>
    <w:rsid w:val="258234CB"/>
    <w:rsid w:val="25C40AFC"/>
    <w:rsid w:val="26046966"/>
    <w:rsid w:val="26084E8D"/>
    <w:rsid w:val="2767173F"/>
    <w:rsid w:val="27AD32DF"/>
    <w:rsid w:val="288A19B4"/>
    <w:rsid w:val="28A03797"/>
    <w:rsid w:val="29513542"/>
    <w:rsid w:val="297665B1"/>
    <w:rsid w:val="29883BEF"/>
    <w:rsid w:val="2ACE1AD5"/>
    <w:rsid w:val="2B517862"/>
    <w:rsid w:val="2B863EAA"/>
    <w:rsid w:val="2C9108C8"/>
    <w:rsid w:val="2D9439C4"/>
    <w:rsid w:val="2E840E29"/>
    <w:rsid w:val="2ECE1DDB"/>
    <w:rsid w:val="2EE77D3E"/>
    <w:rsid w:val="2F0D7070"/>
    <w:rsid w:val="2F875074"/>
    <w:rsid w:val="2F8A6913"/>
    <w:rsid w:val="306A4AD7"/>
    <w:rsid w:val="308415B4"/>
    <w:rsid w:val="30BF25EC"/>
    <w:rsid w:val="30E30912"/>
    <w:rsid w:val="31973569"/>
    <w:rsid w:val="31D40319"/>
    <w:rsid w:val="31DA13FA"/>
    <w:rsid w:val="32901C31"/>
    <w:rsid w:val="335607FA"/>
    <w:rsid w:val="337F7039"/>
    <w:rsid w:val="33AF6F27"/>
    <w:rsid w:val="33C5689E"/>
    <w:rsid w:val="34056568"/>
    <w:rsid w:val="342A2472"/>
    <w:rsid w:val="342D5900"/>
    <w:rsid w:val="34DD74E5"/>
    <w:rsid w:val="355F19D4"/>
    <w:rsid w:val="355F614C"/>
    <w:rsid w:val="356E45E1"/>
    <w:rsid w:val="35E222F5"/>
    <w:rsid w:val="36552BBE"/>
    <w:rsid w:val="37210A4F"/>
    <w:rsid w:val="373553B6"/>
    <w:rsid w:val="377A11CC"/>
    <w:rsid w:val="385233AE"/>
    <w:rsid w:val="39C15AA6"/>
    <w:rsid w:val="39EE297C"/>
    <w:rsid w:val="3A830B2E"/>
    <w:rsid w:val="3ABB2076"/>
    <w:rsid w:val="3AD96214"/>
    <w:rsid w:val="3AE47002"/>
    <w:rsid w:val="3C520B47"/>
    <w:rsid w:val="3C5669D1"/>
    <w:rsid w:val="3C814BF9"/>
    <w:rsid w:val="3DF354FF"/>
    <w:rsid w:val="3E180966"/>
    <w:rsid w:val="3E5836E4"/>
    <w:rsid w:val="3E8B054B"/>
    <w:rsid w:val="3EEA7329"/>
    <w:rsid w:val="3F421BFD"/>
    <w:rsid w:val="3F870374"/>
    <w:rsid w:val="3FB53538"/>
    <w:rsid w:val="40B76E3C"/>
    <w:rsid w:val="41272213"/>
    <w:rsid w:val="414508EB"/>
    <w:rsid w:val="414572C6"/>
    <w:rsid w:val="4202058A"/>
    <w:rsid w:val="421B6F7F"/>
    <w:rsid w:val="422A09AE"/>
    <w:rsid w:val="424661AA"/>
    <w:rsid w:val="43007E40"/>
    <w:rsid w:val="431F7ADB"/>
    <w:rsid w:val="44315F91"/>
    <w:rsid w:val="44EF30CB"/>
    <w:rsid w:val="46783463"/>
    <w:rsid w:val="467B090B"/>
    <w:rsid w:val="47250312"/>
    <w:rsid w:val="47441F5C"/>
    <w:rsid w:val="47D267E3"/>
    <w:rsid w:val="481A5F1F"/>
    <w:rsid w:val="49E60792"/>
    <w:rsid w:val="4A8F4985"/>
    <w:rsid w:val="4ABB0804"/>
    <w:rsid w:val="4AFA2747"/>
    <w:rsid w:val="4B124C8E"/>
    <w:rsid w:val="4B206C58"/>
    <w:rsid w:val="4B390D05"/>
    <w:rsid w:val="4B3D0935"/>
    <w:rsid w:val="4B4C2907"/>
    <w:rsid w:val="4B6E6C91"/>
    <w:rsid w:val="4BCE14DD"/>
    <w:rsid w:val="4BF076A6"/>
    <w:rsid w:val="4BF453E8"/>
    <w:rsid w:val="4C675BBA"/>
    <w:rsid w:val="4C78451C"/>
    <w:rsid w:val="4CD60F91"/>
    <w:rsid w:val="4CFB4554"/>
    <w:rsid w:val="4D2E78DC"/>
    <w:rsid w:val="4D5F23B7"/>
    <w:rsid w:val="4D95756C"/>
    <w:rsid w:val="4E2B665F"/>
    <w:rsid w:val="4E516060"/>
    <w:rsid w:val="4E610F96"/>
    <w:rsid w:val="4EB33338"/>
    <w:rsid w:val="4FBC446F"/>
    <w:rsid w:val="4FE03F65"/>
    <w:rsid w:val="500D27C2"/>
    <w:rsid w:val="50331C8F"/>
    <w:rsid w:val="50C811EA"/>
    <w:rsid w:val="50EB2B26"/>
    <w:rsid w:val="514E10F6"/>
    <w:rsid w:val="51A60F32"/>
    <w:rsid w:val="51B63B64"/>
    <w:rsid w:val="52342D13"/>
    <w:rsid w:val="525C6372"/>
    <w:rsid w:val="536F35A6"/>
    <w:rsid w:val="53C5766A"/>
    <w:rsid w:val="54A10FD2"/>
    <w:rsid w:val="55331E7E"/>
    <w:rsid w:val="565F5B54"/>
    <w:rsid w:val="56674A08"/>
    <w:rsid w:val="569F23F4"/>
    <w:rsid w:val="5744502C"/>
    <w:rsid w:val="587358E6"/>
    <w:rsid w:val="58E80837"/>
    <w:rsid w:val="59103135"/>
    <w:rsid w:val="59DB4E4A"/>
    <w:rsid w:val="5A9102A6"/>
    <w:rsid w:val="5B4873E3"/>
    <w:rsid w:val="5BDA5F42"/>
    <w:rsid w:val="5C0813D3"/>
    <w:rsid w:val="5CBF396D"/>
    <w:rsid w:val="5CED3EB9"/>
    <w:rsid w:val="5CFD7B2E"/>
    <w:rsid w:val="5D437F7D"/>
    <w:rsid w:val="5FAF36A8"/>
    <w:rsid w:val="60065292"/>
    <w:rsid w:val="605B3830"/>
    <w:rsid w:val="60A72DA9"/>
    <w:rsid w:val="60C154CE"/>
    <w:rsid w:val="60E05AE3"/>
    <w:rsid w:val="61994853"/>
    <w:rsid w:val="61AB0DDF"/>
    <w:rsid w:val="61C24D65"/>
    <w:rsid w:val="62355D6F"/>
    <w:rsid w:val="62775FD3"/>
    <w:rsid w:val="62DE3340"/>
    <w:rsid w:val="630510AE"/>
    <w:rsid w:val="634C56B2"/>
    <w:rsid w:val="640F3A2E"/>
    <w:rsid w:val="64122457"/>
    <w:rsid w:val="64690D16"/>
    <w:rsid w:val="64D4770D"/>
    <w:rsid w:val="657F41C7"/>
    <w:rsid w:val="658A0616"/>
    <w:rsid w:val="67024A05"/>
    <w:rsid w:val="675E7762"/>
    <w:rsid w:val="677C77DF"/>
    <w:rsid w:val="67D0783D"/>
    <w:rsid w:val="685A617B"/>
    <w:rsid w:val="689B6EBF"/>
    <w:rsid w:val="690A194F"/>
    <w:rsid w:val="69156A22"/>
    <w:rsid w:val="69ED7A4E"/>
    <w:rsid w:val="6A745C1A"/>
    <w:rsid w:val="6AA638F9"/>
    <w:rsid w:val="6AE10DD5"/>
    <w:rsid w:val="6BC51FA8"/>
    <w:rsid w:val="6BED307E"/>
    <w:rsid w:val="6BEE7A07"/>
    <w:rsid w:val="6C195936"/>
    <w:rsid w:val="6C631022"/>
    <w:rsid w:val="6C6B1D2E"/>
    <w:rsid w:val="6C820453"/>
    <w:rsid w:val="6D0B213A"/>
    <w:rsid w:val="6D1F0A51"/>
    <w:rsid w:val="6D2D79C5"/>
    <w:rsid w:val="6D535D71"/>
    <w:rsid w:val="6DA04F3A"/>
    <w:rsid w:val="6EA91C0A"/>
    <w:rsid w:val="6F71097A"/>
    <w:rsid w:val="6FEF7AF1"/>
    <w:rsid w:val="706A53C9"/>
    <w:rsid w:val="70B67E72"/>
    <w:rsid w:val="71614A1E"/>
    <w:rsid w:val="71AA1F21"/>
    <w:rsid w:val="71CD79BE"/>
    <w:rsid w:val="72D67739"/>
    <w:rsid w:val="73F12A61"/>
    <w:rsid w:val="74213802"/>
    <w:rsid w:val="74844CAB"/>
    <w:rsid w:val="74EC2ED5"/>
    <w:rsid w:val="75263FB5"/>
    <w:rsid w:val="757A7AA7"/>
    <w:rsid w:val="7625601A"/>
    <w:rsid w:val="7634625D"/>
    <w:rsid w:val="76C70E7F"/>
    <w:rsid w:val="77282E24"/>
    <w:rsid w:val="774249AA"/>
    <w:rsid w:val="774B7496"/>
    <w:rsid w:val="77E37AA1"/>
    <w:rsid w:val="77F4471F"/>
    <w:rsid w:val="78AB498F"/>
    <w:rsid w:val="78DA74D9"/>
    <w:rsid w:val="794669D3"/>
    <w:rsid w:val="79F521A7"/>
    <w:rsid w:val="7A4231ED"/>
    <w:rsid w:val="7A7A7E04"/>
    <w:rsid w:val="7A7E03EF"/>
    <w:rsid w:val="7BAE260E"/>
    <w:rsid w:val="7BAE6AB2"/>
    <w:rsid w:val="7BC77C52"/>
    <w:rsid w:val="7CF4266C"/>
    <w:rsid w:val="7CFB7AD5"/>
    <w:rsid w:val="7D48266C"/>
    <w:rsid w:val="7DA0242A"/>
    <w:rsid w:val="7DB36E05"/>
    <w:rsid w:val="7DDB2289"/>
    <w:rsid w:val="7E1640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ind w:left="0"/>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ind w:left="1276"/>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ind w:left="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wrap="around"/>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段 Char"/>
    <w:link w:val="231"/>
    <w:qFormat/>
    <w:uiPriority w:val="0"/>
    <w:rPr>
      <w:rFonts w:ascii="宋体"/>
      <w:sz w:val="21"/>
    </w:rPr>
  </w:style>
  <w:style w:type="paragraph" w:customStyle="1" w:styleId="231">
    <w:name w:val="段"/>
    <w:link w:val="230"/>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2">
    <w:name w:val="附录图标号"/>
    <w:basedOn w:val="1"/>
    <w:qFormat/>
    <w:uiPriority w:val="0"/>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233">
    <w:name w:val="附录标识"/>
    <w:basedOn w:val="1"/>
    <w:next w:val="231"/>
    <w:qFormat/>
    <w:uiPriority w:val="0"/>
    <w:pPr>
      <w:keepNext/>
      <w:widowControl/>
      <w:shd w:val="clear" w:color="FFFFFF" w:fill="FFFFFF"/>
      <w:tabs>
        <w:tab w:val="left" w:pos="360"/>
        <w:tab w:val="left" w:pos="6405"/>
      </w:tabs>
      <w:adjustRightInd/>
      <w:spacing w:before="640" w:after="280" w:line="240" w:lineRule="auto"/>
      <w:jc w:val="center"/>
      <w:outlineLvl w:val="0"/>
    </w:pPr>
    <w:rPr>
      <w:rFonts w:ascii="黑体" w:hAnsi="Times New Roman" w:eastAsia="黑体"/>
      <w:kern w:val="0"/>
      <w:szCs w:val="20"/>
    </w:rPr>
  </w:style>
  <w:style w:type="paragraph" w:customStyle="1" w:styleId="234">
    <w:name w:val="附录章标题"/>
    <w:next w:val="231"/>
    <w:qFormat/>
    <w:uiPriority w:val="0"/>
    <w:p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35">
    <w:name w:val="附录表标号"/>
    <w:basedOn w:val="1"/>
    <w:next w:val="231"/>
    <w:qFormat/>
    <w:uiPriority w:val="0"/>
    <w:pPr>
      <w:tabs>
        <w:tab w:val="left" w:pos="1646"/>
      </w:tabs>
      <w:adjustRightInd/>
      <w:spacing w:line="14" w:lineRule="exact"/>
      <w:ind w:left="811" w:hanging="448"/>
      <w:jc w:val="center"/>
      <w:outlineLvl w:val="0"/>
    </w:pPr>
    <w:rPr>
      <w:rFonts w:ascii="Times New Roman" w:hAnsi="Times New Roman"/>
      <w:color w:val="FFFFFF"/>
      <w:szCs w:val="24"/>
    </w:rPr>
  </w:style>
  <w:style w:type="paragraph" w:customStyle="1" w:styleId="236">
    <w:name w:val="附录一级无"/>
    <w:basedOn w:val="1"/>
    <w:qFormat/>
    <w:uiPriority w:val="0"/>
    <w:pPr>
      <w:widowControl/>
      <w:wordWrap w:val="0"/>
      <w:overflowPunct w:val="0"/>
      <w:autoSpaceDE w:val="0"/>
      <w:autoSpaceDN w:val="0"/>
      <w:adjustRightInd/>
      <w:spacing w:line="240" w:lineRule="auto"/>
      <w:textAlignment w:val="baseline"/>
      <w:outlineLvl w:val="2"/>
    </w:pPr>
    <w:rPr>
      <w:rFonts w:ascii="宋体" w:hAnsi="Times New Roman"/>
      <w:kern w:val="21"/>
    </w:rPr>
  </w:style>
  <w:style w:type="paragraph" w:customStyle="1" w:styleId="237">
    <w:name w:val="三级条标题"/>
    <w:basedOn w:val="238"/>
    <w:next w:val="231"/>
    <w:qFormat/>
    <w:uiPriority w:val="0"/>
    <w:pPr>
      <w:numPr>
        <w:ilvl w:val="3"/>
      </w:numPr>
      <w:tabs>
        <w:tab w:val="left" w:pos="840"/>
      </w:tabs>
      <w:outlineLvl w:val="4"/>
    </w:pPr>
  </w:style>
  <w:style w:type="paragraph" w:customStyle="1" w:styleId="238">
    <w:name w:val="二级条标题"/>
    <w:basedOn w:val="239"/>
    <w:next w:val="231"/>
    <w:qFormat/>
    <w:uiPriority w:val="0"/>
    <w:pPr>
      <w:numPr>
        <w:ilvl w:val="2"/>
      </w:numPr>
      <w:tabs>
        <w:tab w:val="left" w:pos="840"/>
      </w:tabs>
      <w:spacing w:before="50" w:after="50"/>
      <w:outlineLvl w:val="3"/>
    </w:pPr>
  </w:style>
  <w:style w:type="paragraph" w:customStyle="1" w:styleId="239">
    <w:name w:val="一级条标题"/>
    <w:next w:val="231"/>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40">
    <w:name w:val="字母编号列项（一级）"/>
    <w:qFormat/>
    <w:uiPriority w:val="0"/>
    <w:pPr>
      <w:tabs>
        <w:tab w:val="left" w:pos="839"/>
      </w:tabs>
      <w:ind w:left="851" w:hanging="426"/>
      <w:jc w:val="both"/>
    </w:pPr>
    <w:rPr>
      <w:rFonts w:ascii="宋体" w:hAnsi="Times New Roman" w:eastAsia="宋体" w:cs="Times New Roman"/>
      <w:sz w:val="21"/>
      <w:lang w:val="en-US" w:eastAsia="zh-CN" w:bidi="ar-SA"/>
    </w:rPr>
  </w:style>
  <w:style w:type="paragraph" w:customStyle="1" w:styleId="241">
    <w:name w:val="章标题"/>
    <w:next w:val="231"/>
    <w:qFormat/>
    <w:uiPriority w:val="0"/>
    <w:pPr>
      <w:tabs>
        <w:tab w:val="left" w:pos="823"/>
      </w:tabs>
      <w:spacing w:before="312" w:beforeLines="100" w:after="312" w:afterLines="100"/>
      <w:ind w:left="823" w:hanging="420"/>
      <w:jc w:val="both"/>
      <w:outlineLvl w:val="1"/>
    </w:pPr>
    <w:rPr>
      <w:rFonts w:ascii="黑体" w:hAnsi="Times New Roman" w:eastAsia="黑体" w:cs="Times New Roman"/>
      <w:sz w:val="21"/>
      <w:lang w:val="en-US" w:eastAsia="zh-CN" w:bidi="ar-SA"/>
    </w:rPr>
  </w:style>
  <w:style w:type="paragraph" w:customStyle="1" w:styleId="242">
    <w:name w:val="一级无"/>
    <w:basedOn w:val="239"/>
    <w:qFormat/>
    <w:uiPriority w:val="0"/>
    <w:pPr>
      <w:spacing w:before="0" w:beforeLines="0" w:after="0" w:afterLines="0"/>
    </w:pPr>
    <w:rPr>
      <w:rFonts w:ascii="宋体" w:eastAsia="宋体"/>
    </w:rPr>
  </w:style>
  <w:style w:type="paragraph" w:customStyle="1" w:styleId="243">
    <w:name w:val="WPSOffice手动目录 1"/>
    <w:qFormat/>
    <w:uiPriority w:val="0"/>
    <w:rPr>
      <w:rFonts w:ascii="Calibri" w:hAnsi="Calibri" w:eastAsia="宋体" w:cs="Times New Roman"/>
      <w:lang w:val="en-US" w:eastAsia="zh-CN" w:bidi="ar-SA"/>
    </w:rPr>
  </w:style>
  <w:style w:type="paragraph" w:customStyle="1" w:styleId="244">
    <w:name w:val="目次、标准名称标题"/>
    <w:basedOn w:val="1"/>
    <w:next w:val="231"/>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45">
    <w:name w:val="前言、引言标题"/>
    <w:next w:val="231"/>
    <w:qFormat/>
    <w:uiPriority w:val="99"/>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6">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47">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248">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3.jpeg"/><Relationship Id="rId25" Type="http://schemas.openxmlformats.org/officeDocument/2006/relationships/image" Target="media/image2.jpeg"/><Relationship Id="rId24" Type="http://schemas.openxmlformats.org/officeDocument/2006/relationships/image" Target="media/image1.tiff"/><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a317533-f943-452f-9c41-41f02814d658}"/>
        <w:style w:val=""/>
        <w:category>
          <w:name w:val="常规"/>
          <w:gallery w:val="placeholder"/>
        </w:category>
        <w:types>
          <w:type w:val="bbPlcHdr"/>
        </w:types>
        <w:behaviors>
          <w:behavior w:val="content"/>
        </w:behaviors>
        <w:description w:val=""/>
        <w:guid w:val="{7A317533-F943-452F-9C41-41F02814D658}"/>
      </w:docPartPr>
      <w:docPartBody>
        <w:p>
          <w:pPr>
            <w:pStyle w:val="9"/>
          </w:pPr>
          <w:r>
            <w:rPr>
              <w:rStyle w:val="5"/>
              <w:rFonts w:hint="eastAsia"/>
            </w:rPr>
            <w:t>单击或点击此处输入文字。</w:t>
          </w:r>
        </w:p>
      </w:docPartBody>
    </w:docPart>
    <w:docPart>
      <w:docPartPr>
        <w:name w:val="{dfeddf69-34cd-4c2a-9888-abcd686f438e}"/>
        <w:style w:val=""/>
        <w:category>
          <w:name w:val="常规"/>
          <w:gallery w:val="placeholder"/>
        </w:category>
        <w:types>
          <w:type w:val="bbPlcHdr"/>
        </w:types>
        <w:behaviors>
          <w:behavior w:val="content"/>
        </w:behaviors>
        <w:description w:val=""/>
        <w:guid w:val="{DFEDDF69-34CD-4C2A-9888-ABCD686F438E}"/>
      </w:docPartPr>
      <w:docPartBody>
        <w:p>
          <w:pPr>
            <w:pStyle w:val="10"/>
          </w:pPr>
          <w:r>
            <w:rPr>
              <w:rStyle w:val="5"/>
              <w:rFonts w:hint="eastAsia"/>
            </w:rPr>
            <w:t>选择一项。</w:t>
          </w:r>
        </w:p>
      </w:docPartBody>
    </w:docPart>
    <w:docPart>
      <w:docPartPr>
        <w:name w:val="{bbcbbadc-0b25-44b9-89e8-13a810ba83a8}"/>
        <w:style w:val=""/>
        <w:category>
          <w:name w:val="常规"/>
          <w:gallery w:val="placeholder"/>
        </w:category>
        <w:types>
          <w:type w:val="bbPlcHdr"/>
        </w:types>
        <w:behaviors>
          <w:behavior w:val="content"/>
        </w:behaviors>
        <w:description w:val=""/>
        <w:guid w:val="{BBCBBADC-0B25-44B9-89E8-13A810BA83A8}"/>
      </w:docPartPr>
      <w:docPartBody>
        <w:p>
          <w:pPr>
            <w:pStyle w:val="11"/>
          </w:pPr>
          <w:r>
            <w:rPr>
              <w:rStyle w:val="5"/>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E27C74"/>
    <w:rsid w:val="004452A3"/>
    <w:rsid w:val="00A6374A"/>
    <w:rsid w:val="00C443CB"/>
    <w:rsid w:val="00E27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8AB5A15E31FB47A89FC200140FCC1877"/>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 w:type="paragraph" w:customStyle="1" w:styleId="6">
    <w:name w:val="647F45DAD1FE45868526557CDA1A77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411563D50B845CF9476CDF76CD4E8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4E23925684C74717A358CB20A8AF1F1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FBDAB72F1BF445358FCCBACF05E6937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095E2C4ABF0147B8BE0D70C71D95A5E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B90E0E338A7346AD8ED8D944BB2BDAA2"/>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E6863F-B859-4A9C-A6FB-87908D7FAF15}">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1021</Words>
  <Characters>5825</Characters>
  <Lines>48</Lines>
  <Paragraphs>13</Paragraphs>
  <TotalTime>48</TotalTime>
  <ScaleCrop>false</ScaleCrop>
  <LinksUpToDate>false</LinksUpToDate>
  <CharactersWithSpaces>6833</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2021-01-11T09:10:00Z</dcterms:created>
  <dc:creator>微软用户</dc:creator>
  <dc:description>&lt;config cover="true" show_menu="true" version="1.0.0" doctype="SDKXY"&gt;_x000d_
&lt;/config&gt;</dc:description>
  <cp:lastModifiedBy>许</cp:lastModifiedBy>
  <cp:lastPrinted>2021-01-11T08:47:00Z</cp:lastPrinted>
  <dcterms:modified xsi:type="dcterms:W3CDTF">2023-12-08T02:48:18Z</dcterms:modified>
  <dc:title>地方标准</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2052-11.8.2.12085</vt:lpwstr>
  </property>
  <property fmtid="{D5CDD505-2E9C-101B-9397-08002B2CF9AE}" pid="15" name="ICV">
    <vt:lpwstr>495372962BA84E4081EFBDA52FA9E90C_13</vt:lpwstr>
  </property>
  <property fmtid="{D5CDD505-2E9C-101B-9397-08002B2CF9AE}" pid="16" name="DoublePage">
    <vt:lpwstr>true</vt:lpwstr>
  </property>
</Properties>
</file>