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B31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framePr w:wrap="around"/>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3702</w:t>
      </w:r>
      <w:r>
        <w:rPr>
          <w:lang w:val="fr-FR"/>
        </w:rPr>
        <w:t>/T</w:t>
      </w:r>
      <w:r>
        <w:fldChar w:fldCharType="end"/>
      </w:r>
      <w:bookmarkEnd w:id="5"/>
      <w:r>
        <w:rPr>
          <w:lang w:val="fr-FR"/>
        </w:rPr>
        <w:t xml:space="preserve"> </w:t>
      </w:r>
      <w:r>
        <w:rPr>
          <w:rFonts w:hint="eastAsia"/>
        </w:rPr>
        <w:t>28</w:t>
      </w:r>
      <w:r>
        <w:rPr>
          <w:rFonts w:hAnsi="黑体"/>
          <w:lang w:val="fr-FR"/>
        </w:rPr>
        <w:t>—</w:t>
      </w:r>
      <w:r>
        <w:rPr>
          <w:rFonts w:hint="eastAsia"/>
        </w:rPr>
        <w:t>2023</w:t>
      </w:r>
    </w:p>
    <w:p>
      <w:pPr>
        <w:pStyle w:val="199"/>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名特优新农产品  仁兆沽河萝卜</w:t>
      </w:r>
      <w:r>
        <w:fldChar w:fldCharType="end"/>
      </w:r>
      <w:bookmarkEnd w:id="7"/>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eastAsia="黑体"/>
          <w:b/>
          <w:szCs w:val="28"/>
        </w:rPr>
        <w:t xml:space="preserve">Well-known </w:t>
      </w:r>
      <w:r>
        <w:rPr>
          <w:rFonts w:hint="eastAsia" w:eastAsia="黑体"/>
          <w:b/>
          <w:szCs w:val="28"/>
        </w:rPr>
        <w:t>c</w:t>
      </w:r>
      <w:r>
        <w:rPr>
          <w:rFonts w:eastAsia="黑体"/>
          <w:b/>
          <w:szCs w:val="28"/>
        </w:rPr>
        <w:t xml:space="preserve">haracteristic </w:t>
      </w:r>
      <w:r>
        <w:rPr>
          <w:rFonts w:hint="eastAsia" w:eastAsia="黑体"/>
          <w:b/>
          <w:szCs w:val="28"/>
        </w:rPr>
        <w:t>h</w:t>
      </w:r>
      <w:r>
        <w:rPr>
          <w:rFonts w:eastAsia="黑体"/>
          <w:b/>
          <w:szCs w:val="28"/>
        </w:rPr>
        <w:t xml:space="preserve">igh quality and </w:t>
      </w:r>
      <w:r>
        <w:rPr>
          <w:rFonts w:hint="eastAsia" w:eastAsia="黑体"/>
          <w:b/>
          <w:szCs w:val="28"/>
        </w:rPr>
        <w:t>n</w:t>
      </w:r>
      <w:r>
        <w:rPr>
          <w:rFonts w:eastAsia="黑体"/>
          <w:b/>
          <w:szCs w:val="28"/>
        </w:rPr>
        <w:t xml:space="preserve">ew </w:t>
      </w:r>
      <w:r>
        <w:rPr>
          <w:rFonts w:hint="eastAsia" w:eastAsia="黑体"/>
          <w:b/>
          <w:szCs w:val="28"/>
        </w:rPr>
        <w:t>a</w:t>
      </w:r>
      <w:r>
        <w:rPr>
          <w:rFonts w:eastAsia="黑体"/>
          <w:b/>
          <w:szCs w:val="28"/>
        </w:rPr>
        <w:t>gricultural products—Renzhao Guhe Radish</w:t>
      </w: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96"/>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8"/>
      <w:r>
        <w:t xml:space="preserve"> </w:t>
      </w:r>
      <w:r>
        <w:rPr>
          <w:rFonts w:ascii="黑体"/>
        </w:rPr>
        <w:t>-</w:t>
      </w:r>
      <w:r>
        <w:t xml:space="preserve"> </w:t>
      </w:r>
      <w:r>
        <w:rPr>
          <w:rFonts w:hint="eastAsia" w:ascii="黑体"/>
          <w:lang w:val="en-US" w:eastAsia="zh-CN"/>
        </w:rPr>
        <w:t>12</w:t>
      </w:r>
      <w:r>
        <w:t xml:space="preserve"> </w:t>
      </w:r>
      <w:r>
        <w:rPr>
          <w:rFonts w:ascii="黑体"/>
        </w:rPr>
        <w:t>-</w:t>
      </w:r>
      <w:r>
        <w:t xml:space="preserve"> </w:t>
      </w:r>
      <w:r>
        <w:rPr>
          <w:rFonts w:hint="eastAsia" w:ascii="黑体"/>
          <w:lang w:val="en-US" w:eastAsia="zh-CN"/>
        </w:rPr>
        <w:t>8</w:t>
      </w:r>
      <w:r>
        <w:rPr>
          <w:rFonts w:hint="eastAsia"/>
        </w:rPr>
        <w:t>发布</w:t>
      </w:r>
    </w:p>
    <w:p>
      <w:pPr>
        <w:pStyle w:val="197"/>
        <w:framePr w:wrap="around" w:y="14176"/>
      </w:pPr>
      <w:r>
        <w:rPr>
          <w:rFonts w:hint="eastAsia" w:ascii="黑体"/>
          <w:lang w:val="en-US" w:eastAsia="zh-CN"/>
        </w:rPr>
        <w:t>2024</w:t>
      </w:r>
      <w:r>
        <w:t xml:space="preserve"> </w:t>
      </w:r>
      <w:r>
        <w:rPr>
          <w:rFonts w:ascii="黑体"/>
        </w:rPr>
        <w:t>-</w:t>
      </w:r>
      <w:r>
        <w:t xml:space="preserve"> </w:t>
      </w:r>
      <w:r>
        <w:rPr>
          <w:rFonts w:hint="eastAsia" w:ascii="黑体"/>
          <w:lang w:val="en-US" w:eastAsia="zh-CN"/>
        </w:rPr>
        <w:t>1</w:t>
      </w:r>
      <w:r>
        <w:t xml:space="preserve"> </w:t>
      </w:r>
      <w:r>
        <w:rPr>
          <w:rFonts w:ascii="黑体"/>
        </w:rPr>
        <w:t>-</w:t>
      </w:r>
      <w:r>
        <w:t xml:space="preserve"> </w:t>
      </w:r>
      <w:r>
        <w:rPr>
          <w:rFonts w:hint="eastAsia" w:ascii="黑体"/>
          <w:lang w:val="en-US" w:eastAsia="zh-CN"/>
        </w:rPr>
        <w:t>1</w:t>
      </w:r>
      <w:bookmarkStart w:id="91" w:name="_GoBack"/>
      <w:bookmarkEnd w:id="91"/>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9" w:name="fm"/>
      <w:r>
        <w:rPr>
          <w:rFonts w:hAnsi="黑体"/>
          <w:w w:val="100"/>
          <w:sz w:val="28"/>
        </w:rPr>
        <w:instrText xml:space="preserve"> FORMTEXT </w:instrText>
      </w:r>
      <w:r>
        <w:rPr>
          <w:rFonts w:hAnsi="黑体"/>
          <w:w w:val="100"/>
          <w:sz w:val="28"/>
        </w:rPr>
        <w:fldChar w:fldCharType="separate"/>
      </w:r>
      <w:r>
        <w:rPr>
          <w:rFonts w:hint="eastAsia" w:hAnsi="黑体"/>
          <w:w w:val="100"/>
          <w:sz w:val="28"/>
        </w:rPr>
        <w:t>青岛市市场监督管理局</w:t>
      </w:r>
      <w:r>
        <w:rPr>
          <w:rFonts w:hAnsi="黑体"/>
          <w:w w:val="100"/>
          <w:sz w:val="28"/>
        </w:rPr>
        <w:fldChar w:fldCharType="end"/>
      </w:r>
      <w:bookmarkEnd w:id="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468"/>
      </w:pPr>
      <w:bookmarkStart w:id="10" w:name="BookMark1"/>
      <w:bookmarkStart w:id="11" w:name="_Toc152073158"/>
      <w:bookmarkStart w:id="12" w:name="_Toc152073187"/>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"_Toc152160145" </w:instrText>
      </w:r>
      <w:r>
        <w:fldChar w:fldCharType="separate"/>
      </w:r>
      <w:r>
        <w:rPr>
          <w:rStyle w:val="34"/>
          <w:rFonts w:hint="eastAsia"/>
        </w:rPr>
        <w:t>前言</w:t>
      </w:r>
      <w:r>
        <w:tab/>
      </w:r>
      <w:r>
        <w:fldChar w:fldCharType="begin"/>
      </w:r>
      <w:r>
        <w:instrText xml:space="preserve"> PAGEREF _Toc152160145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"_Toc152160146" </w:instrText>
      </w:r>
      <w:r>
        <w:fldChar w:fldCharType="separate"/>
      </w:r>
      <w:r>
        <w:rPr>
          <w:rStyle w:val="34"/>
        </w:rPr>
        <w:t xml:space="preserve">1 </w:t>
      </w:r>
      <w:r>
        <w:rPr>
          <w:rStyle w:val="34"/>
          <w:rFonts w:hint="eastAsia"/>
        </w:rPr>
        <w:t xml:space="preserve"> 范围</w:t>
      </w:r>
      <w:r>
        <w:tab/>
      </w:r>
      <w:r>
        <w:fldChar w:fldCharType="begin"/>
      </w:r>
      <w:r>
        <w:instrText xml:space="preserve"> PAGEREF _Toc152160146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"_Toc152160147"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_Toc152160147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"_Toc152160148"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_Toc152160148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"_Toc152160149" </w:instrText>
      </w:r>
      <w:r>
        <w:fldChar w:fldCharType="separate"/>
      </w:r>
      <w:r>
        <w:rPr>
          <w:rStyle w:val="34"/>
        </w:rPr>
        <w:t xml:space="preserve">4 </w:t>
      </w:r>
      <w:r>
        <w:rPr>
          <w:rStyle w:val="34"/>
          <w:rFonts w:hint="eastAsia"/>
        </w:rPr>
        <w:t xml:space="preserve"> 产地范围</w:t>
      </w:r>
      <w:r>
        <w:tab/>
      </w:r>
      <w:r>
        <w:fldChar w:fldCharType="begin"/>
      </w:r>
      <w:r>
        <w:instrText xml:space="preserve"> PAGEREF _Toc152160149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"_Toc152160150" </w:instrText>
      </w:r>
      <w:r>
        <w:fldChar w:fldCharType="separate"/>
      </w:r>
      <w:r>
        <w:rPr>
          <w:rStyle w:val="34"/>
        </w:rPr>
        <w:t xml:space="preserve">5 </w:t>
      </w:r>
      <w:r>
        <w:rPr>
          <w:rStyle w:val="34"/>
          <w:rFonts w:hint="eastAsia"/>
        </w:rPr>
        <w:t xml:space="preserve"> 组织管理</w:t>
      </w:r>
      <w:r>
        <w:tab/>
      </w:r>
      <w:r>
        <w:fldChar w:fldCharType="begin"/>
      </w:r>
      <w:r>
        <w:instrText xml:space="preserve"> PAGEREF _Toc152160150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"_Toc152160151" </w:instrText>
      </w:r>
      <w:r>
        <w:fldChar w:fldCharType="separate"/>
      </w:r>
      <w:r>
        <w:rPr>
          <w:rStyle w:val="34"/>
        </w:rPr>
        <w:t xml:space="preserve">6 </w:t>
      </w:r>
      <w:r>
        <w:rPr>
          <w:rStyle w:val="34"/>
          <w:rFonts w:hint="eastAsia"/>
        </w:rPr>
        <w:t xml:space="preserve"> 制度管理</w:t>
      </w:r>
      <w:r>
        <w:tab/>
      </w:r>
      <w:r>
        <w:fldChar w:fldCharType="begin"/>
      </w:r>
      <w:r>
        <w:instrText xml:space="preserve"> PAGEREF _Toc152160151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"_Toc152160152" </w:instrText>
      </w:r>
      <w:r>
        <w:fldChar w:fldCharType="separate"/>
      </w:r>
      <w:r>
        <w:rPr>
          <w:rStyle w:val="34"/>
        </w:rPr>
        <w:t xml:space="preserve">7 </w:t>
      </w:r>
      <w:r>
        <w:rPr>
          <w:rStyle w:val="34"/>
          <w:rFonts w:hint="eastAsia"/>
        </w:rPr>
        <w:t xml:space="preserve"> 物资管理</w:t>
      </w:r>
      <w:r>
        <w:tab/>
      </w:r>
      <w:r>
        <w:fldChar w:fldCharType="begin"/>
      </w:r>
      <w:r>
        <w:instrText xml:space="preserve"> PAGEREF _Toc152160152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"_Toc152160153" </w:instrText>
      </w:r>
      <w:r>
        <w:fldChar w:fldCharType="separate"/>
      </w:r>
      <w:r>
        <w:rPr>
          <w:rStyle w:val="34"/>
        </w:rPr>
        <w:t xml:space="preserve">8 </w:t>
      </w:r>
      <w:r>
        <w:rPr>
          <w:rStyle w:val="34"/>
          <w:rFonts w:hint="eastAsia"/>
        </w:rPr>
        <w:t xml:space="preserve"> 技术要求</w:t>
      </w:r>
      <w:r>
        <w:tab/>
      </w:r>
      <w:r>
        <w:fldChar w:fldCharType="begin"/>
      </w:r>
      <w:r>
        <w:instrText xml:space="preserve"> PAGEREF _Toc152160153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"_Toc152160154" </w:instrText>
      </w:r>
      <w:r>
        <w:fldChar w:fldCharType="separate"/>
      </w:r>
      <w:r>
        <w:rPr>
          <w:rStyle w:val="34"/>
        </w:rPr>
        <w:t xml:space="preserve">9 </w:t>
      </w:r>
      <w:r>
        <w:rPr>
          <w:rStyle w:val="34"/>
          <w:rFonts w:hint="eastAsia"/>
        </w:rPr>
        <w:t xml:space="preserve"> 产品质量控制</w:t>
      </w:r>
      <w:r>
        <w:tab/>
      </w:r>
      <w:r>
        <w:fldChar w:fldCharType="begin"/>
      </w:r>
      <w:r>
        <w:instrText xml:space="preserve"> PAGEREF _Toc152160154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"_Toc152160155" </w:instrText>
      </w:r>
      <w:r>
        <w:fldChar w:fldCharType="separate"/>
      </w:r>
      <w:r>
        <w:rPr>
          <w:rStyle w:val="34"/>
        </w:rPr>
        <w:t xml:space="preserve">10 </w:t>
      </w:r>
      <w:r>
        <w:rPr>
          <w:rStyle w:val="34"/>
          <w:rFonts w:hint="eastAsia"/>
        </w:rPr>
        <w:t xml:space="preserve"> 内部自查</w:t>
      </w:r>
      <w:r>
        <w:tab/>
      </w:r>
      <w:r>
        <w:fldChar w:fldCharType="begin"/>
      </w:r>
      <w:r>
        <w:instrText xml:space="preserve"> PAGEREF _Toc152160155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"_Toc152160156" </w:instrText>
      </w:r>
      <w:r>
        <w:fldChar w:fldCharType="separate"/>
      </w:r>
      <w:r>
        <w:rPr>
          <w:rStyle w:val="34"/>
          <w:rFonts w:hint="eastAsia"/>
        </w:rPr>
        <w:t>附录A（规范性）</w:t>
      </w:r>
      <w:r>
        <w:rPr>
          <w:rStyle w:val="34"/>
        </w:rPr>
        <w:t xml:space="preserve">  </w:t>
      </w:r>
      <w:r>
        <w:rPr>
          <w:rStyle w:val="34"/>
          <w:rFonts w:hint="eastAsia"/>
        </w:rPr>
        <w:t>萝卜上禁止使用的农药</w:t>
      </w:r>
      <w:r>
        <w:tab/>
      </w:r>
      <w:r>
        <w:fldChar w:fldCharType="begin"/>
      </w:r>
      <w:r>
        <w:instrText xml:space="preserve"> PAGEREF _Toc152160156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"_Toc152160157" </w:instrText>
      </w:r>
      <w:r>
        <w:fldChar w:fldCharType="separate"/>
      </w:r>
      <w:r>
        <w:rPr>
          <w:rStyle w:val="34"/>
          <w:rFonts w:hint="eastAsia"/>
        </w:rPr>
        <w:t>附录B（规范性）</w:t>
      </w:r>
      <w:r>
        <w:rPr>
          <w:rStyle w:val="34"/>
        </w:rPr>
        <w:t xml:space="preserve">  </w:t>
      </w:r>
      <w:r>
        <w:rPr>
          <w:rStyle w:val="34"/>
          <w:rFonts w:hint="eastAsia"/>
        </w:rPr>
        <w:t>萝卜主要病虫害登记的主要农药</w:t>
      </w:r>
      <w:r>
        <w:tab/>
      </w:r>
      <w:r>
        <w:fldChar w:fldCharType="begin"/>
      </w:r>
      <w:r>
        <w:instrText xml:space="preserve"> PAGEREF _Toc152160157 \h </w:instrText>
      </w:r>
      <w:r>
        <w:fldChar w:fldCharType="separate"/>
      </w:r>
      <w:r>
        <w:t>7</w:t>
      </w:r>
      <w:r>
        <w:fldChar w:fldCharType="end"/>
      </w:r>
      <w:r>
        <w:fldChar w:fldCharType="end"/>
      </w:r>
    </w:p>
    <w:p>
      <w:pPr>
        <w:pStyle w:val="94"/>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0"/>
    <w:p>
      <w:pPr>
        <w:pStyle w:val="92"/>
        <w:spacing w:before="900" w:after="468"/>
      </w:pPr>
      <w:bookmarkStart w:id="13" w:name="_Toc152160145"/>
      <w:bookmarkStart w:id="14" w:name="BookMark2"/>
      <w:r>
        <w:rPr>
          <w:spacing w:val="320"/>
        </w:rPr>
        <w:t>前</w:t>
      </w:r>
      <w:r>
        <w:t>言</w:t>
      </w:r>
      <w:bookmarkEnd w:id="11"/>
      <w:bookmarkEnd w:id="12"/>
      <w:bookmarkEnd w:id="13"/>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本文件由青岛市农业农村局提出。</w:t>
      </w:r>
    </w:p>
    <w:p>
      <w:pPr>
        <w:pStyle w:val="59"/>
        <w:ind w:firstLine="420"/>
      </w:pPr>
      <w:r>
        <w:rPr>
          <w:rFonts w:hint="eastAsia"/>
        </w:rPr>
        <w:t>本文件由青岛市农业农村标准化技术委员会归口。</w:t>
      </w:r>
    </w:p>
    <w:p>
      <w:pPr>
        <w:pStyle w:val="59"/>
        <w:ind w:firstLine="420"/>
      </w:pPr>
      <w:r>
        <w:rPr>
          <w:rFonts w:hint="eastAsia"/>
        </w:rPr>
        <w:t>本文件起草单位：青岛市农产品质量安全中心、平度市农业农村局、青岛锐阳生态农业科技开发有限公司、青岛市农业技术推广中心、青岛农业大学、中国农业科学院烟草研究所。</w:t>
      </w:r>
    </w:p>
    <w:p>
      <w:pPr>
        <w:pStyle w:val="59"/>
        <w:ind w:firstLine="420"/>
      </w:pPr>
      <w:r>
        <w:rPr>
          <w:rFonts w:hint="eastAsia"/>
        </w:rPr>
        <w:t>本文件主要起草人：吴燕、吕宁、申莉莉、吕仁智、张江波、丁宗博、付红蕾、穆阿丽、张兴龙、段晓琳、董佩谕、魏亦山、张嵘、李辉、于新海、王绅、张朋朋、邵楚君、聂继云、邱军、兰孝帮、范学鹏。</w:t>
      </w:r>
    </w:p>
    <w:p>
      <w:pPr>
        <w:pStyle w:val="59"/>
        <w:ind w:firstLine="420"/>
      </w:pPr>
    </w:p>
    <w:p>
      <w:pPr>
        <w:pStyle w:val="59"/>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14"/>
    <w:p>
      <w:pPr>
        <w:spacing w:line="20" w:lineRule="exact"/>
        <w:jc w:val="center"/>
        <w:rPr>
          <w:rFonts w:ascii="黑体" w:hAnsi="黑体" w:eastAsia="黑体"/>
          <w:sz w:val="32"/>
          <w:szCs w:val="32"/>
        </w:rPr>
      </w:pPr>
      <w:bookmarkStart w:id="15" w:name="BookMark4"/>
    </w:p>
    <w:p>
      <w:pPr>
        <w:spacing w:line="20" w:lineRule="exact"/>
        <w:jc w:val="center"/>
        <w:rPr>
          <w:rFonts w:ascii="黑体" w:hAnsi="黑体" w:eastAsia="黑体"/>
          <w:sz w:val="32"/>
          <w:szCs w:val="32"/>
        </w:rPr>
      </w:pPr>
    </w:p>
    <w:sdt>
      <w:sdtPr>
        <w:tag w:val="NEW_STAND_NAME"/>
        <w:id w:val="595910757"/>
        <w:lock w:val="sdtLocked"/>
        <w:placeholder>
          <w:docPart w:val="750B3A08EB374DAF91033B543A09CD20"/>
        </w:placeholder>
      </w:sdtPr>
      <w:sdtContent>
        <w:p>
          <w:pPr>
            <w:pStyle w:val="180"/>
            <w:spacing w:before="312" w:beforeLines="100" w:after="686" w:afterLines="220"/>
          </w:pPr>
          <w:bookmarkStart w:id="16" w:name="NEW_STAND_NAME"/>
          <w:r>
            <w:rPr>
              <w:rFonts w:hint="eastAsia"/>
            </w:rPr>
            <w:t>名特优新农产品</w:t>
          </w:r>
          <w:r>
            <w:t xml:space="preserve">  仁兆沽河萝卜</w:t>
          </w:r>
        </w:p>
      </w:sdtContent>
    </w:sdt>
    <w:bookmarkEnd w:id="16"/>
    <w:p>
      <w:pPr>
        <w:pStyle w:val="107"/>
        <w:spacing w:before="312" w:after="312"/>
      </w:pPr>
      <w:bookmarkStart w:id="17" w:name="_Toc152073188"/>
      <w:bookmarkStart w:id="18" w:name="_Toc26648465"/>
      <w:bookmarkStart w:id="19" w:name="_Toc97191423"/>
      <w:bookmarkStart w:id="20" w:name="_Toc26986771"/>
      <w:bookmarkStart w:id="21" w:name="_Toc17233333"/>
      <w:bookmarkStart w:id="22" w:name="_Toc152160146"/>
      <w:bookmarkStart w:id="23" w:name="_Toc24884211"/>
      <w:bookmarkStart w:id="24" w:name="_Toc26718930"/>
      <w:bookmarkStart w:id="25" w:name="_Toc152073159"/>
      <w:bookmarkStart w:id="26" w:name="_Toc17233325"/>
      <w:bookmarkStart w:id="27" w:name="_Toc24884218"/>
      <w:bookmarkStart w:id="28" w:name="_Toc26986530"/>
      <w:r>
        <w:rPr>
          <w:rFonts w:hint="eastAsia"/>
        </w:rPr>
        <w:t>范围</w:t>
      </w:r>
      <w:bookmarkEnd w:id="17"/>
      <w:bookmarkEnd w:id="18"/>
      <w:bookmarkEnd w:id="19"/>
      <w:bookmarkEnd w:id="20"/>
      <w:bookmarkEnd w:id="21"/>
      <w:bookmarkEnd w:id="22"/>
      <w:bookmarkEnd w:id="23"/>
      <w:bookmarkEnd w:id="24"/>
      <w:bookmarkEnd w:id="25"/>
      <w:bookmarkEnd w:id="26"/>
      <w:bookmarkEnd w:id="27"/>
      <w:bookmarkEnd w:id="28"/>
    </w:p>
    <w:p>
      <w:pPr>
        <w:pStyle w:val="59"/>
        <w:ind w:firstLine="420"/>
      </w:pPr>
      <w:bookmarkStart w:id="29" w:name="_Toc26648466"/>
      <w:bookmarkStart w:id="30" w:name="_Toc17233334"/>
      <w:bookmarkStart w:id="31" w:name="_Toc24884212"/>
      <w:bookmarkStart w:id="32" w:name="_Toc17233326"/>
      <w:bookmarkStart w:id="33" w:name="_Toc24884219"/>
      <w:r>
        <w:rPr>
          <w:rFonts w:hint="eastAsia"/>
        </w:rPr>
        <w:t>本文件规定了名特优新农产品仁兆沽河萝卜生产对产地范围、组织管理、制度管理、物资管理、技术要求、产品质量管理和内部自查等全程质量控制的要求。</w:t>
      </w:r>
    </w:p>
    <w:p>
      <w:pPr>
        <w:pStyle w:val="59"/>
        <w:ind w:firstLine="420"/>
      </w:pPr>
      <w:r>
        <w:rPr>
          <w:rFonts w:hint="eastAsia"/>
        </w:rPr>
        <w:t>本文件适用于全国名特优新农产品仁兆沽河萝卜生产全过程的质量控制。</w:t>
      </w:r>
    </w:p>
    <w:p>
      <w:pPr>
        <w:pStyle w:val="107"/>
        <w:spacing w:before="312" w:after="312"/>
      </w:pPr>
      <w:bookmarkStart w:id="34" w:name="_Toc152160147"/>
      <w:bookmarkStart w:id="35" w:name="_Toc152073189"/>
      <w:bookmarkStart w:id="36" w:name="_Toc97191424"/>
      <w:bookmarkStart w:id="37" w:name="_Toc152073160"/>
      <w:bookmarkStart w:id="38" w:name="_Toc26986531"/>
      <w:bookmarkStart w:id="39" w:name="_Toc26986772"/>
      <w:bookmarkStart w:id="40" w:name="_Toc26718931"/>
      <w:r>
        <w:rPr>
          <w:rFonts w:hint="eastAsia"/>
        </w:rPr>
        <w:t>规范性引用文件</w:t>
      </w:r>
      <w:bookmarkEnd w:id="29"/>
      <w:bookmarkEnd w:id="30"/>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5FEA288D8E31477884DE6608CB75AB4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 2762  食品安全国家标准 食品中污染物限量</w:t>
      </w:r>
    </w:p>
    <w:p>
      <w:pPr>
        <w:pStyle w:val="59"/>
        <w:ind w:firstLine="420"/>
      </w:pPr>
      <w:r>
        <w:rPr>
          <w:rFonts w:hint="eastAsia"/>
        </w:rPr>
        <w:t>GB 2763  食品安全国家标准 食品中农药最大残留限量</w:t>
      </w:r>
    </w:p>
    <w:p>
      <w:pPr>
        <w:pStyle w:val="59"/>
        <w:ind w:firstLine="420"/>
      </w:pPr>
      <w:r>
        <w:rPr>
          <w:rFonts w:hint="eastAsia"/>
        </w:rPr>
        <w:t>GB 5009.86 食品安全国家标准 食品中抗坏血酸的测定</w:t>
      </w:r>
    </w:p>
    <w:p>
      <w:pPr>
        <w:pStyle w:val="59"/>
        <w:ind w:firstLine="420"/>
      </w:pPr>
      <w:r>
        <w:rPr>
          <w:rFonts w:hint="eastAsia"/>
        </w:rPr>
        <w:t>GB/T 5009.10 植物类食品中粗纤维的测定</w:t>
      </w:r>
    </w:p>
    <w:p>
      <w:pPr>
        <w:pStyle w:val="59"/>
        <w:ind w:firstLine="420"/>
      </w:pPr>
      <w:r>
        <w:rPr>
          <w:rFonts w:hint="eastAsia"/>
        </w:rPr>
        <w:t>GB 38400 肥料中有毒有害物质的限量要求</w:t>
      </w:r>
    </w:p>
    <w:p>
      <w:pPr>
        <w:pStyle w:val="59"/>
        <w:ind w:firstLine="420"/>
      </w:pPr>
      <w:r>
        <w:rPr>
          <w:rFonts w:hint="eastAsia"/>
        </w:rPr>
        <w:t>NY/T 658 绿色食品 包装通用准则</w:t>
      </w:r>
    </w:p>
    <w:p>
      <w:pPr>
        <w:pStyle w:val="59"/>
        <w:ind w:firstLine="420"/>
      </w:pPr>
      <w:r>
        <w:rPr>
          <w:rFonts w:hint="eastAsia"/>
        </w:rPr>
        <w:t>NY/T 896 绿色食品 产品抽样准则</w:t>
      </w:r>
    </w:p>
    <w:p>
      <w:pPr>
        <w:pStyle w:val="59"/>
        <w:ind w:firstLine="420"/>
      </w:pPr>
      <w:r>
        <w:rPr>
          <w:rFonts w:hint="eastAsia"/>
        </w:rPr>
        <w:t>NY/T 1056 绿色食品 贮藏运输准则</w:t>
      </w:r>
    </w:p>
    <w:p>
      <w:pPr>
        <w:pStyle w:val="107"/>
        <w:spacing w:before="312" w:after="312"/>
      </w:pPr>
      <w:bookmarkStart w:id="41" w:name="_Toc152073161"/>
      <w:bookmarkStart w:id="42" w:name="_Toc152160148"/>
      <w:bookmarkStart w:id="43" w:name="_Toc152073190"/>
      <w:bookmarkStart w:id="44" w:name="_Toc97191425"/>
      <w:r>
        <w:rPr>
          <w:rFonts w:hint="eastAsia"/>
          <w:szCs w:val="21"/>
        </w:rPr>
        <w:t>术语和定义</w:t>
      </w:r>
      <w:bookmarkEnd w:id="41"/>
      <w:bookmarkEnd w:id="42"/>
      <w:bookmarkEnd w:id="43"/>
      <w:bookmarkEnd w:id="44"/>
    </w:p>
    <w:sdt>
      <w:sdtPr>
        <w:id w:val="-1909835108"/>
        <w:placeholder>
          <w:docPart w:val="D5CD6B2E5A8B4190A5ECADE7884960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5" w:name="_Toc26986532"/>
          <w:bookmarkEnd w:id="45"/>
          <w:r>
            <w:t>下列术语和定义适用于本文件。</w:t>
          </w:r>
        </w:p>
      </w:sdtContent>
    </w:sdt>
    <w:p>
      <w:pPr>
        <w:pStyle w:val="226"/>
        <w:ind w:left="420" w:hanging="420" w:hangingChars="200"/>
        <w:rPr>
          <w:rFonts w:ascii="Times New Roman" w:eastAsia="黑体"/>
          <w:b/>
        </w:rPr>
      </w:pPr>
      <w:r>
        <w:rPr>
          <w:rFonts w:ascii="黑体" w:hAnsi="黑体" w:eastAsia="黑体"/>
        </w:rPr>
        <w:br w:type="textWrapping"/>
      </w:r>
      <w:r>
        <w:rPr>
          <w:rFonts w:hint="eastAsia" w:ascii="黑体" w:hAnsi="黑体" w:eastAsia="黑体"/>
        </w:rPr>
        <w:t xml:space="preserve">名特优新农产品  </w:t>
      </w:r>
      <w:r>
        <w:rPr>
          <w:rFonts w:hint="eastAsia" w:ascii="Times New Roman" w:eastAsia="黑体"/>
          <w:b/>
        </w:rPr>
        <w:t>w</w:t>
      </w:r>
      <w:r>
        <w:rPr>
          <w:rFonts w:ascii="Times New Roman" w:eastAsia="黑体"/>
          <w:b/>
        </w:rPr>
        <w:t xml:space="preserve">ell-known </w:t>
      </w:r>
      <w:r>
        <w:rPr>
          <w:rFonts w:hint="eastAsia" w:ascii="Times New Roman" w:eastAsia="黑体"/>
          <w:b/>
        </w:rPr>
        <w:t>c</w:t>
      </w:r>
      <w:r>
        <w:rPr>
          <w:rFonts w:ascii="Times New Roman" w:eastAsia="黑体"/>
          <w:b/>
        </w:rPr>
        <w:t xml:space="preserve">haracteristic </w:t>
      </w:r>
      <w:r>
        <w:rPr>
          <w:rFonts w:hint="eastAsia" w:ascii="Times New Roman" w:eastAsia="黑体"/>
          <w:b/>
        </w:rPr>
        <w:t>h</w:t>
      </w:r>
      <w:r>
        <w:rPr>
          <w:rFonts w:ascii="Times New Roman" w:eastAsia="黑体"/>
          <w:b/>
        </w:rPr>
        <w:t xml:space="preserve">igh quality and </w:t>
      </w:r>
      <w:r>
        <w:rPr>
          <w:rFonts w:hint="eastAsia" w:ascii="Times New Roman" w:eastAsia="黑体"/>
          <w:b/>
        </w:rPr>
        <w:t>n</w:t>
      </w:r>
      <w:r>
        <w:rPr>
          <w:rFonts w:ascii="Times New Roman" w:eastAsia="黑体"/>
          <w:b/>
        </w:rPr>
        <w:t xml:space="preserve">ew </w:t>
      </w:r>
      <w:r>
        <w:rPr>
          <w:rFonts w:hint="eastAsia" w:ascii="Times New Roman" w:eastAsia="黑体"/>
          <w:b/>
        </w:rPr>
        <w:t>a</w:t>
      </w:r>
      <w:r>
        <w:rPr>
          <w:rFonts w:ascii="Times New Roman" w:eastAsia="黑体"/>
          <w:b/>
        </w:rPr>
        <w:t>gricultural products</w:t>
      </w:r>
    </w:p>
    <w:p>
      <w:pPr>
        <w:pStyle w:val="59"/>
        <w:ind w:firstLine="420"/>
      </w:pPr>
      <w:r>
        <w:rPr>
          <w:rFonts w:hint="eastAsia"/>
        </w:rPr>
        <w:t>在特定区域（原则上以县域为单元）内生产、具备一定生产规模和商品量、具有显著地域特征和独特营养品质特色、有稳定的供应量和消费市场、公众认知度和美誉度高并经农业农村部农产品质量安全中心登录公告和核发证书的农产品。</w:t>
      </w:r>
    </w:p>
    <w:p>
      <w:pPr>
        <w:pStyle w:val="107"/>
        <w:spacing w:before="312" w:after="312"/>
      </w:pPr>
      <w:bookmarkStart w:id="46" w:name="_Toc152073191"/>
      <w:bookmarkStart w:id="47" w:name="_Toc152073162"/>
      <w:bookmarkStart w:id="48" w:name="_Toc152160149"/>
      <w:r>
        <w:rPr>
          <w:rFonts w:hint="eastAsia"/>
        </w:rPr>
        <w:t>产地范围</w:t>
      </w:r>
      <w:bookmarkEnd w:id="46"/>
      <w:bookmarkEnd w:id="47"/>
      <w:bookmarkEnd w:id="48"/>
    </w:p>
    <w:p>
      <w:pPr>
        <w:pStyle w:val="59"/>
        <w:ind w:firstLine="420"/>
      </w:pPr>
      <w:r>
        <w:rPr>
          <w:rFonts w:hint="eastAsia"/>
        </w:rPr>
        <w:t>山东省青岛市平度市仁兆镇吕戈庄村、李家沽村、西王戈庄、东王戈庄。</w:t>
      </w:r>
    </w:p>
    <w:p>
      <w:pPr>
        <w:pStyle w:val="107"/>
        <w:spacing w:before="312" w:after="312"/>
      </w:pPr>
      <w:bookmarkStart w:id="49" w:name="_Toc152160150"/>
      <w:bookmarkStart w:id="50" w:name="_Toc152073163"/>
      <w:bookmarkStart w:id="51" w:name="_Toc152073192"/>
      <w:r>
        <w:rPr>
          <w:rFonts w:hint="eastAsia"/>
        </w:rPr>
        <w:t>组织管理</w:t>
      </w:r>
      <w:bookmarkEnd w:id="49"/>
      <w:bookmarkEnd w:id="50"/>
      <w:bookmarkEnd w:id="51"/>
    </w:p>
    <w:p>
      <w:pPr>
        <w:pStyle w:val="108"/>
        <w:spacing w:before="156" w:after="156"/>
      </w:pPr>
      <w:bookmarkStart w:id="52" w:name="_Toc152073164"/>
      <w:r>
        <w:rPr>
          <w:rFonts w:hint="eastAsia"/>
        </w:rPr>
        <w:t>组织机构</w:t>
      </w:r>
      <w:bookmarkEnd w:id="52"/>
    </w:p>
    <w:p>
      <w:pPr>
        <w:pStyle w:val="168"/>
      </w:pPr>
      <w:r>
        <w:rPr>
          <w:rFonts w:hint="eastAsia"/>
        </w:rPr>
        <w:t>生产者应为纳入全国名特优新农产品名录或经全国名特优新农产品证书持有主体授权的生产主体。</w:t>
      </w:r>
    </w:p>
    <w:p>
      <w:pPr>
        <w:pStyle w:val="168"/>
      </w:pPr>
      <w:r>
        <w:rPr>
          <w:rFonts w:hint="eastAsia"/>
        </w:rPr>
        <w:t>生产者应配备与生产规模相适应的管理人员、技术人员和生产人员。</w:t>
      </w:r>
    </w:p>
    <w:p>
      <w:pPr>
        <w:pStyle w:val="108"/>
        <w:spacing w:before="156" w:after="156"/>
      </w:pPr>
      <w:bookmarkStart w:id="53" w:name="_Toc152073165"/>
      <w:r>
        <w:rPr>
          <w:rFonts w:hint="eastAsia"/>
        </w:rPr>
        <w:t>人员管理</w:t>
      </w:r>
      <w:bookmarkEnd w:id="53"/>
    </w:p>
    <w:p>
      <w:pPr>
        <w:pStyle w:val="68"/>
        <w:spacing w:before="156" w:after="156"/>
      </w:pPr>
      <w:r>
        <w:rPr>
          <w:rFonts w:hint="eastAsia"/>
        </w:rPr>
        <w:t>职业资格</w:t>
      </w:r>
    </w:p>
    <w:p>
      <w:pPr>
        <w:pStyle w:val="167"/>
      </w:pPr>
      <w:r>
        <w:rPr>
          <w:rFonts w:hint="eastAsia"/>
        </w:rPr>
        <w:t>管理人员具备相应的管理知识，熟悉相关的专业知识，能够负责相关人员和事项的管理。</w:t>
      </w:r>
    </w:p>
    <w:p>
      <w:pPr>
        <w:pStyle w:val="167"/>
      </w:pPr>
      <w:r>
        <w:rPr>
          <w:rFonts w:hint="eastAsia"/>
        </w:rPr>
        <w:t>技术人员具备相应的专业知识，能够负责技术操作规范制定、技术指导、技术培训等工作。</w:t>
      </w:r>
    </w:p>
    <w:p>
      <w:pPr>
        <w:pStyle w:val="167"/>
      </w:pPr>
      <w:r>
        <w:rPr>
          <w:rFonts w:hint="eastAsia"/>
        </w:rPr>
        <w:t>生产人员具备相应的生产技能，能够负责相应的农事操作。</w:t>
      </w:r>
    </w:p>
    <w:p>
      <w:pPr>
        <w:pStyle w:val="68"/>
        <w:spacing w:before="156" w:after="156"/>
      </w:pPr>
      <w:r>
        <w:rPr>
          <w:rFonts w:hint="eastAsia"/>
        </w:rPr>
        <w:t>职业培训</w:t>
      </w:r>
    </w:p>
    <w:p>
      <w:pPr>
        <w:pStyle w:val="167"/>
      </w:pPr>
      <w:r>
        <w:rPr>
          <w:rFonts w:hint="eastAsia"/>
        </w:rPr>
        <w:t>应对所有人员进行卫生和安全基本知识培训。</w:t>
      </w:r>
    </w:p>
    <w:p>
      <w:pPr>
        <w:pStyle w:val="167"/>
      </w:pPr>
      <w:r>
        <w:rPr>
          <w:rFonts w:hint="eastAsia"/>
        </w:rPr>
        <w:t>应对园区果园建立、栽培管理、病虫害防控、设施设备使用、农资管理、果实采收、采后处理等关键岗位人员进行相关专业知识培训，培训合格后上岗。</w:t>
      </w:r>
    </w:p>
    <w:p>
      <w:pPr>
        <w:pStyle w:val="68"/>
        <w:spacing w:before="156" w:after="156"/>
      </w:pPr>
      <w:r>
        <w:rPr>
          <w:rFonts w:hint="eastAsia"/>
        </w:rPr>
        <w:t>职业健康</w:t>
      </w:r>
    </w:p>
    <w:p>
      <w:pPr>
        <w:pStyle w:val="167"/>
      </w:pPr>
      <w:r>
        <w:rPr>
          <w:rFonts w:hint="eastAsia"/>
        </w:rPr>
        <w:t>应制定简明易懂的紧急事故处理程序，并张贴于显眼处，并有应急处理能力的人员。</w:t>
      </w:r>
    </w:p>
    <w:p>
      <w:pPr>
        <w:pStyle w:val="167"/>
      </w:pPr>
      <w:r>
        <w:rPr>
          <w:rFonts w:hint="eastAsia"/>
        </w:rPr>
        <w:t>应在工作场所固定区域配置急救箱和必要的消防设施。</w:t>
      </w:r>
    </w:p>
    <w:p>
      <w:pPr>
        <w:pStyle w:val="167"/>
      </w:pPr>
      <w:r>
        <w:rPr>
          <w:rFonts w:hint="eastAsia"/>
        </w:rPr>
        <w:t>应在危险处设立警示标志。应为特定工作（如农药施用）人员提供必要的防护条件（如胶靴、防护服、胶手套、面罩等）。</w:t>
      </w:r>
    </w:p>
    <w:p>
      <w:pPr>
        <w:pStyle w:val="167"/>
      </w:pPr>
      <w:r>
        <w:rPr>
          <w:rFonts w:hint="eastAsia"/>
        </w:rPr>
        <w:t>应要求直接接触果实的人员取得健康证明。</w:t>
      </w:r>
    </w:p>
    <w:p>
      <w:pPr>
        <w:pStyle w:val="107"/>
        <w:spacing w:before="312" w:after="312"/>
      </w:pPr>
      <w:bookmarkStart w:id="54" w:name="_Toc152073166"/>
      <w:bookmarkStart w:id="55" w:name="_Toc152160151"/>
      <w:bookmarkStart w:id="56" w:name="_Toc152073193"/>
      <w:r>
        <w:rPr>
          <w:rFonts w:hint="eastAsia"/>
        </w:rPr>
        <w:t>制度管理</w:t>
      </w:r>
      <w:bookmarkEnd w:id="54"/>
      <w:bookmarkEnd w:id="55"/>
      <w:bookmarkEnd w:id="56"/>
    </w:p>
    <w:p>
      <w:pPr>
        <w:pStyle w:val="165"/>
      </w:pPr>
      <w:r>
        <w:rPr>
          <w:rFonts w:hint="eastAsia"/>
        </w:rPr>
        <w:t>生产主体应根据实际生产编制适用的制度规范，并在相应功能区上墙明示。</w:t>
      </w:r>
    </w:p>
    <w:p>
      <w:pPr>
        <w:pStyle w:val="165"/>
      </w:pPr>
      <w:r>
        <w:rPr>
          <w:rFonts w:hint="eastAsia"/>
        </w:rPr>
        <w:t>制度文件内容包括但不限于：</w:t>
      </w:r>
    </w:p>
    <w:p>
      <w:pPr>
        <w:pStyle w:val="177"/>
      </w:pPr>
      <w:r>
        <w:rPr>
          <w:rFonts w:hint="eastAsia"/>
        </w:rPr>
        <w:t>制度规定应包括农业投入品管理制度、产品质量管理制度、仓库管理制度、员工管理制度等；</w:t>
      </w:r>
    </w:p>
    <w:p>
      <w:pPr>
        <w:pStyle w:val="177"/>
      </w:pPr>
      <w:r>
        <w:rPr>
          <w:rFonts w:hint="eastAsia"/>
        </w:rPr>
        <w:t>操作程序应包括人员培训程序、卫生管理程序、农业投入品使用程序、废弃物处理程序等；</w:t>
      </w:r>
    </w:p>
    <w:p>
      <w:pPr>
        <w:pStyle w:val="177"/>
      </w:pPr>
      <w:r>
        <w:rPr>
          <w:rFonts w:hint="eastAsia"/>
        </w:rPr>
        <w:t>作业指导书应包括育苗、移栽、田间管理、病虫害防治、采收、储藏、运输等生产过程。</w:t>
      </w:r>
    </w:p>
    <w:p>
      <w:pPr>
        <w:pStyle w:val="107"/>
        <w:spacing w:before="312" w:after="312"/>
      </w:pPr>
      <w:bookmarkStart w:id="57" w:name="_Toc152073194"/>
      <w:bookmarkStart w:id="58" w:name="_Toc152160152"/>
      <w:bookmarkStart w:id="59" w:name="_Toc152073167"/>
      <w:r>
        <w:rPr>
          <w:rFonts w:hint="eastAsia"/>
        </w:rPr>
        <w:t>物资管理</w:t>
      </w:r>
      <w:bookmarkEnd w:id="57"/>
      <w:bookmarkEnd w:id="58"/>
      <w:bookmarkEnd w:id="59"/>
    </w:p>
    <w:p>
      <w:pPr>
        <w:pStyle w:val="108"/>
        <w:spacing w:before="156" w:after="156"/>
      </w:pPr>
      <w:bookmarkStart w:id="60" w:name="_Toc152073168"/>
      <w:r>
        <w:rPr>
          <w:rFonts w:hint="eastAsia"/>
        </w:rPr>
        <w:t>投入品管理</w:t>
      </w:r>
      <w:bookmarkEnd w:id="60"/>
    </w:p>
    <w:p>
      <w:pPr>
        <w:pStyle w:val="168"/>
      </w:pPr>
      <w:r>
        <w:rPr>
          <w:rFonts w:hint="eastAsia"/>
        </w:rPr>
        <w:t>投入品应从合格供应商处购买合格产品，并建立台账（记录产品名称、产品规格、生产厂家、产品批次、执行标准、保质期、入库时间、入库数量、出库时间、出库数量、经手人、使用地块或设施等信息），保存合同、发票、说明书、合格证等相关票据和资料。</w:t>
      </w:r>
    </w:p>
    <w:p>
      <w:pPr>
        <w:pStyle w:val="168"/>
      </w:pPr>
      <w:r>
        <w:rPr>
          <w:rFonts w:hint="eastAsia"/>
        </w:rPr>
        <w:t>投入品应保存在安全场所和适宜条件下，不同投入品之间应相互隔离、互不影响，并适时对场所安全性、保存条件和产品状况进行监测、检查和记录。</w:t>
      </w:r>
    </w:p>
    <w:p>
      <w:pPr>
        <w:pStyle w:val="168"/>
      </w:pPr>
      <w:r>
        <w:rPr>
          <w:rFonts w:hint="eastAsia"/>
        </w:rPr>
        <w:t>农药、肥料施用应填写施用记录，内容包括产品名称、有效成分含量、生产厂家、产品批次、施用地块、施用量、施用方法、施用时间、施用人等。</w:t>
      </w:r>
    </w:p>
    <w:p>
      <w:pPr>
        <w:pStyle w:val="108"/>
        <w:spacing w:before="156" w:after="156"/>
      </w:pPr>
      <w:bookmarkStart w:id="61" w:name="_Toc152073169"/>
      <w:r>
        <w:rPr>
          <w:rFonts w:hint="eastAsia"/>
        </w:rPr>
        <w:t>农机具管理</w:t>
      </w:r>
      <w:bookmarkEnd w:id="61"/>
    </w:p>
    <w:p>
      <w:pPr>
        <w:pStyle w:val="168"/>
      </w:pPr>
      <w:r>
        <w:rPr>
          <w:rFonts w:hint="eastAsia"/>
        </w:rPr>
        <w:t>农机具应从合格供应商处购买合格产品，并建立台账（记录设备名称、设备型号、生产厂家、生产日期、购置时间、放置地点、环境条件要求、管理人等信息），保存合同、发票、说明书、合格证等相关票据和资料。</w:t>
      </w:r>
    </w:p>
    <w:p>
      <w:pPr>
        <w:pStyle w:val="168"/>
      </w:pPr>
      <w:r>
        <w:rPr>
          <w:rFonts w:hint="eastAsia"/>
        </w:rPr>
        <w:t>农机具应由专人，按相关设备的运维作业指导书进行使用和维护，并保留使用和维护记录，内容包括设备唯一性标识、设备名称、设备用途、环境条件、设备状况、使用时间、使用地点、使用人、维护时间、维护内容、维护人等。</w:t>
      </w:r>
    </w:p>
    <w:p>
      <w:pPr>
        <w:pStyle w:val="168"/>
      </w:pPr>
      <w:r>
        <w:rPr>
          <w:rFonts w:hint="eastAsia"/>
        </w:rPr>
        <w:t>农机具管理人应定期组织性能检查，并保存相关记录。</w:t>
      </w:r>
    </w:p>
    <w:p>
      <w:pPr>
        <w:pStyle w:val="168"/>
      </w:pPr>
      <w:r>
        <w:rPr>
          <w:rFonts w:hint="eastAsia"/>
        </w:rPr>
        <w:t>停用和淘汰的农机具应封存在专门场所，并加贴醒目的停用或淘汰标识，存在安全隐患的应设置危险警示标志和防护设施。</w:t>
      </w:r>
    </w:p>
    <w:p>
      <w:pPr>
        <w:pStyle w:val="107"/>
        <w:spacing w:before="312" w:after="312"/>
      </w:pPr>
      <w:bookmarkStart w:id="62" w:name="_Toc152073195"/>
      <w:bookmarkStart w:id="63" w:name="_Toc152073170"/>
      <w:bookmarkStart w:id="64" w:name="_Toc152160153"/>
      <w:r>
        <w:rPr>
          <w:rFonts w:hint="eastAsia"/>
        </w:rPr>
        <w:t>技术要求</w:t>
      </w:r>
      <w:bookmarkEnd w:id="62"/>
      <w:bookmarkEnd w:id="63"/>
      <w:bookmarkEnd w:id="64"/>
    </w:p>
    <w:p>
      <w:pPr>
        <w:pStyle w:val="108"/>
        <w:spacing w:before="156" w:after="156"/>
      </w:pPr>
      <w:bookmarkStart w:id="65" w:name="_Toc152073171"/>
      <w:r>
        <w:rPr>
          <w:rFonts w:hint="eastAsia"/>
        </w:rPr>
        <w:t>茬口控制</w:t>
      </w:r>
      <w:bookmarkEnd w:id="65"/>
    </w:p>
    <w:p>
      <w:pPr>
        <w:pStyle w:val="59"/>
        <w:ind w:firstLine="420"/>
      </w:pPr>
      <w:r>
        <w:rPr>
          <w:rFonts w:hint="eastAsia"/>
        </w:rPr>
        <w:t>避免与十字花科蔬菜连作，播种时间为8月中旬～8月底。</w:t>
      </w:r>
    </w:p>
    <w:p>
      <w:pPr>
        <w:pStyle w:val="108"/>
        <w:spacing w:before="156" w:after="156"/>
      </w:pPr>
      <w:bookmarkStart w:id="66" w:name="_Toc152073172"/>
      <w:r>
        <w:rPr>
          <w:rFonts w:hint="eastAsia"/>
        </w:rPr>
        <w:t>种子控制</w:t>
      </w:r>
      <w:bookmarkEnd w:id="66"/>
    </w:p>
    <w:p>
      <w:pPr>
        <w:pStyle w:val="68"/>
        <w:spacing w:before="156" w:after="156"/>
      </w:pPr>
      <w:r>
        <w:rPr>
          <w:rFonts w:hint="eastAsia"/>
        </w:rPr>
        <w:t>种子选择</w:t>
      </w:r>
    </w:p>
    <w:p>
      <w:pPr>
        <w:pStyle w:val="59"/>
        <w:ind w:firstLine="420"/>
      </w:pPr>
      <w:r>
        <w:rPr>
          <w:rFonts w:hint="eastAsia"/>
        </w:rPr>
        <w:t>品种为天津沙窝萝卜与潍县青萝卜杂交品种，种子质量要求纯度≥92%、净度≥97%、发芽率≥97%、含水量≤8%。</w:t>
      </w:r>
    </w:p>
    <w:p>
      <w:pPr>
        <w:pStyle w:val="68"/>
        <w:spacing w:before="156" w:after="156"/>
      </w:pPr>
      <w:r>
        <w:rPr>
          <w:rFonts w:hint="eastAsia"/>
        </w:rPr>
        <w:t>种子处理</w:t>
      </w:r>
    </w:p>
    <w:p>
      <w:pPr>
        <w:pStyle w:val="59"/>
        <w:ind w:firstLine="420"/>
      </w:pPr>
      <w:r>
        <w:rPr>
          <w:rFonts w:hint="eastAsia"/>
        </w:rPr>
        <w:t xml:space="preserve">播前7 d～10 d先将种子晾晒8 h～10 h，搓去种子刺毛，用种子包线机将种子根据播种株距进行包线。    </w:t>
      </w:r>
    </w:p>
    <w:p>
      <w:pPr>
        <w:pStyle w:val="108"/>
        <w:spacing w:before="156" w:after="156"/>
      </w:pPr>
      <w:bookmarkStart w:id="67" w:name="_Toc152073173"/>
      <w:r>
        <w:rPr>
          <w:rFonts w:hint="eastAsia"/>
        </w:rPr>
        <w:t>土壤控制</w:t>
      </w:r>
      <w:bookmarkEnd w:id="67"/>
    </w:p>
    <w:p>
      <w:pPr>
        <w:pStyle w:val="59"/>
        <w:ind w:firstLine="420"/>
      </w:pPr>
      <w:r>
        <w:rPr>
          <w:rFonts w:hint="eastAsia"/>
        </w:rPr>
        <w:t>选择地势平坦、排灌方便、土层深厚、土质疏松、富含有机质的沙质壤土，以有机质含量1%以上，土壤含盐量小于0.2%，pH 5.5～7.0为宜。前茬作物收获后及时清除植株残体，深耕30 cm以上，采用起垄栽培。</w:t>
      </w:r>
    </w:p>
    <w:p>
      <w:pPr>
        <w:pStyle w:val="108"/>
        <w:spacing w:before="156" w:after="156"/>
      </w:pPr>
      <w:bookmarkStart w:id="68" w:name="_Toc152073174"/>
      <w:r>
        <w:rPr>
          <w:rFonts w:hint="eastAsia"/>
        </w:rPr>
        <w:t>播种控制</w:t>
      </w:r>
      <w:bookmarkEnd w:id="68"/>
    </w:p>
    <w:p>
      <w:pPr>
        <w:pStyle w:val="59"/>
        <w:ind w:firstLine="420"/>
      </w:pPr>
      <w:r>
        <w:rPr>
          <w:rFonts w:hint="eastAsia"/>
        </w:rPr>
        <w:t>每667 ㎡用种量0.8 kg～1.0 kg；宜采用条播或散播方式，播种深度为1.0 cm左右，播种后浇透水盖土。</w:t>
      </w:r>
    </w:p>
    <w:p>
      <w:pPr>
        <w:pStyle w:val="108"/>
        <w:spacing w:before="156" w:after="156"/>
      </w:pPr>
      <w:bookmarkStart w:id="69" w:name="_Toc152073175"/>
      <w:r>
        <w:rPr>
          <w:rFonts w:hint="eastAsia"/>
        </w:rPr>
        <w:t>田间管理</w:t>
      </w:r>
      <w:bookmarkEnd w:id="69"/>
    </w:p>
    <w:p>
      <w:pPr>
        <w:pStyle w:val="68"/>
        <w:spacing w:before="156" w:after="156"/>
      </w:pPr>
      <w:r>
        <w:rPr>
          <w:rFonts w:hint="eastAsia"/>
        </w:rPr>
        <w:t>间苗定苗</w:t>
      </w:r>
    </w:p>
    <w:p>
      <w:pPr>
        <w:pStyle w:val="59"/>
        <w:ind w:firstLine="420"/>
      </w:pPr>
      <w:r>
        <w:rPr>
          <w:rFonts w:hint="eastAsia"/>
        </w:rPr>
        <w:t>早、晚间苗。第一次间苗在子叶充分展开时进行，当萝卜具有2片～3片真叶时，开始第二次间苗；当具有5片～6片真叶时，肉质根破肚时。</w:t>
      </w:r>
    </w:p>
    <w:p>
      <w:pPr>
        <w:pStyle w:val="68"/>
        <w:spacing w:before="156" w:after="156"/>
      </w:pPr>
      <w:r>
        <w:rPr>
          <w:rFonts w:hint="eastAsia"/>
        </w:rPr>
        <w:t>水分控制</w:t>
      </w:r>
    </w:p>
    <w:p>
      <w:pPr>
        <w:pStyle w:val="167"/>
      </w:pPr>
      <w:r>
        <w:rPr>
          <w:rFonts w:hint="eastAsia"/>
        </w:rPr>
        <w:t>浇水应根据作物的生育期和土壤湿润程度而定。</w:t>
      </w:r>
    </w:p>
    <w:p>
      <w:pPr>
        <w:pStyle w:val="167"/>
      </w:pPr>
      <w:r>
        <w:rPr>
          <w:rFonts w:hint="eastAsia"/>
        </w:rPr>
        <w:t>宜利用滴灌设施。出苗前至幼苗破肚时及时浇水，保持土壤湿润；幼苗破肚后至露肩时适当控制浇水次数，加强中耕松土，保持土壤见干见湿。露肩后，肉质根膨大期需水量增加，保持土壤湿润，浇水均匀，雨后及时排除积水，要注意排水防涝。</w:t>
      </w:r>
    </w:p>
    <w:p>
      <w:pPr>
        <w:pStyle w:val="68"/>
        <w:spacing w:before="156" w:after="156"/>
      </w:pPr>
      <w:r>
        <w:rPr>
          <w:rFonts w:hint="eastAsia"/>
        </w:rPr>
        <w:t>施肥控制</w:t>
      </w:r>
    </w:p>
    <w:p>
      <w:pPr>
        <w:pStyle w:val="167"/>
      </w:pPr>
      <w:r>
        <w:rPr>
          <w:rFonts w:hint="eastAsia"/>
        </w:rPr>
        <w:t>施肥类型包括有机肥和化肥，不施用含氯肥料及垃圾、粉煤灰、污泥等。有机肥应腐熟，肥料有毒有害物质含量应符合GB 38400的规定。</w:t>
      </w:r>
    </w:p>
    <w:p>
      <w:pPr>
        <w:pStyle w:val="167"/>
      </w:pPr>
      <w:r>
        <w:rPr>
          <w:rFonts w:hint="eastAsia"/>
        </w:rPr>
        <w:t>施肥宜在测土配方的基础上进行，分为基肥和追肥。结合整地，施入基肥，基肥量应不低于总肥量的70%，基肥用有机肥，亩施500 kg～1000 kg，每亩加施100 kg发酵豆粕。</w:t>
      </w:r>
    </w:p>
    <w:p>
      <w:pPr>
        <w:pStyle w:val="167"/>
      </w:pPr>
      <w:r>
        <w:rPr>
          <w:rFonts w:hint="eastAsia"/>
        </w:rPr>
        <w:t>根据土壤肥力和生长状况确定追肥时间，追肥以化肥为主，辅以生物肥。一般在苗期、叶生长期和肉质根生长期分二次进行。第一次亩施氮、磷、钾复混肥20 kg，第二次亩施氮、磷、钾复混肥30 kg。</w:t>
      </w:r>
    </w:p>
    <w:p>
      <w:pPr>
        <w:pStyle w:val="167"/>
      </w:pPr>
      <w:r>
        <w:rPr>
          <w:rFonts w:hint="eastAsia"/>
        </w:rPr>
        <w:t>生物肥追肥一般在根生长期进行，每10天施壳寡糖生物肥，亩施1 kg/次，共施3次，采用喷洒方式；每7天施有机硒肥料，亩施0.1 kg/次，共施5次，第一、二次采用滴管，第三、四、五次采用喷洒。</w:t>
      </w:r>
    </w:p>
    <w:p>
      <w:pPr>
        <w:pStyle w:val="167"/>
      </w:pPr>
      <w:r>
        <w:rPr>
          <w:rFonts w:hint="eastAsia"/>
        </w:rPr>
        <w:t>收获前20天停止施肥。</w:t>
      </w:r>
    </w:p>
    <w:p>
      <w:pPr>
        <w:pStyle w:val="108"/>
        <w:spacing w:before="156" w:after="156"/>
      </w:pPr>
      <w:bookmarkStart w:id="70" w:name="_Toc152073176"/>
      <w:r>
        <w:rPr>
          <w:rFonts w:hint="eastAsia"/>
        </w:rPr>
        <w:t>病虫害控制</w:t>
      </w:r>
      <w:bookmarkEnd w:id="70"/>
    </w:p>
    <w:p>
      <w:pPr>
        <w:pStyle w:val="68"/>
        <w:spacing w:before="156" w:after="156"/>
      </w:pPr>
      <w:r>
        <w:rPr>
          <w:rFonts w:hint="eastAsia"/>
        </w:rPr>
        <w:t>防治原则</w:t>
      </w:r>
    </w:p>
    <w:p>
      <w:pPr>
        <w:pStyle w:val="59"/>
        <w:ind w:firstLine="420"/>
      </w:pPr>
      <w:r>
        <w:rPr>
          <w:rFonts w:hint="eastAsia"/>
        </w:rPr>
        <w:t>在优先采用农业防治的基础上，协调运用物理防治、生物防治、化学防治来控制病虫害的发生。</w:t>
      </w:r>
    </w:p>
    <w:p>
      <w:pPr>
        <w:pStyle w:val="68"/>
        <w:spacing w:before="156" w:after="156"/>
      </w:pPr>
      <w:r>
        <w:rPr>
          <w:rFonts w:hint="eastAsia"/>
        </w:rPr>
        <w:t>农业防治</w:t>
      </w:r>
    </w:p>
    <w:p>
      <w:pPr>
        <w:pStyle w:val="59"/>
        <w:ind w:firstLine="420"/>
      </w:pPr>
      <w:r>
        <w:rPr>
          <w:rFonts w:hint="eastAsia"/>
        </w:rPr>
        <w:t>播种前种子和苗床进行消毒处理。定植前10 d～15 d清理田间，去除杂草，土壤翻耕，深沟高畦。测土平衡施肥，施用经无害化处理的有机肥，及时做好中耕除草。</w:t>
      </w:r>
    </w:p>
    <w:p>
      <w:pPr>
        <w:pStyle w:val="68"/>
        <w:spacing w:before="156" w:after="156"/>
      </w:pPr>
      <w:r>
        <w:rPr>
          <w:rFonts w:hint="eastAsia"/>
        </w:rPr>
        <w:t>物理防治</w:t>
      </w:r>
    </w:p>
    <w:p>
      <w:pPr>
        <w:pStyle w:val="59"/>
        <w:ind w:firstLine="420"/>
      </w:pPr>
      <w:r>
        <w:rPr>
          <w:rFonts w:hint="eastAsia"/>
        </w:rPr>
        <w:t>可采用防虫网隔离育苗，斜纹夜蛾、甜菜夜蛾等趋光性强的害虫宜采用灯光诱杀，蚜虫、潜叶蝇、烟粉虱等可采用色板诱杀，地老虎、蛴蜡等地下害虫宜采用糖醋液诱杀，对发生较轻、危害中心明显的害虫，宜采用人工捕杀。</w:t>
      </w:r>
    </w:p>
    <w:p>
      <w:pPr>
        <w:pStyle w:val="68"/>
        <w:spacing w:before="156" w:after="156"/>
      </w:pPr>
      <w:r>
        <w:rPr>
          <w:rFonts w:hint="eastAsia"/>
        </w:rPr>
        <w:t>化学防治</w:t>
      </w:r>
    </w:p>
    <w:p>
      <w:pPr>
        <w:pStyle w:val="59"/>
        <w:ind w:firstLine="420"/>
      </w:pPr>
      <w:r>
        <w:rPr>
          <w:rFonts w:hint="eastAsia"/>
        </w:rPr>
        <w:t>不准许使用国家明令禁止的高毒、剧毒农药（见附录A）。宜轮换、交替用药，应严格按照农药标签注明的防治对象、施用浓度、施用方法、安全间隔期等要求施用（见附录B）。农药剂型宜选用水剂、水乳剂、微乳剂和水分散粒剂等环境友好型剂型。</w:t>
      </w:r>
    </w:p>
    <w:p>
      <w:pPr>
        <w:pStyle w:val="68"/>
        <w:spacing w:before="156" w:after="156"/>
      </w:pPr>
      <w:r>
        <w:rPr>
          <w:rFonts w:hint="eastAsia"/>
        </w:rPr>
        <w:t>生物防治</w:t>
      </w:r>
    </w:p>
    <w:p>
      <w:pPr>
        <w:pStyle w:val="59"/>
        <w:ind w:firstLine="420"/>
      </w:pPr>
      <w:r>
        <w:rPr>
          <w:rFonts w:hint="eastAsia"/>
        </w:rPr>
        <w:t>利用天敌昆虫、微生物、昆虫性外激素（即性诱剂）和生物源农药进行病虫害防治。</w:t>
      </w:r>
    </w:p>
    <w:p>
      <w:pPr>
        <w:pStyle w:val="108"/>
        <w:spacing w:before="156" w:after="156"/>
      </w:pPr>
      <w:bookmarkStart w:id="71" w:name="_Toc152073177"/>
      <w:r>
        <w:rPr>
          <w:rFonts w:hint="eastAsia"/>
        </w:rPr>
        <w:t>采收控制</w:t>
      </w:r>
      <w:bookmarkEnd w:id="71"/>
    </w:p>
    <w:p>
      <w:pPr>
        <w:pStyle w:val="168"/>
      </w:pPr>
      <w:r>
        <w:rPr>
          <w:rFonts w:hint="eastAsia"/>
        </w:rPr>
        <w:t>采收时间宜在11月5日～20日采收，具体应根据采后用途、运输距离、贮藏方式等对萝卜成熟度的要求确定适宜采收期。</w:t>
      </w:r>
    </w:p>
    <w:p>
      <w:pPr>
        <w:pStyle w:val="168"/>
      </w:pPr>
      <w:r>
        <w:rPr>
          <w:rFonts w:hint="eastAsia"/>
        </w:rPr>
        <w:t>应避免雨天采收和雨后立即采收。如遇雨天，应在停雨1 d～2 d后采收。</w:t>
      </w:r>
    </w:p>
    <w:p>
      <w:pPr>
        <w:pStyle w:val="168"/>
      </w:pPr>
      <w:r>
        <w:rPr>
          <w:rFonts w:hint="eastAsia"/>
        </w:rPr>
        <w:t>贮藏用萝卜收获后应削去肉质根残留叶樱，以不伤及肉质根为准。</w:t>
      </w:r>
    </w:p>
    <w:p>
      <w:pPr>
        <w:pStyle w:val="168"/>
      </w:pPr>
      <w:r>
        <w:rPr>
          <w:rFonts w:hint="eastAsia"/>
        </w:rPr>
        <w:t>运销和冷藏的萝卜应进行清洗，洗净肉质根表面泥土和污物并晾干。采取通风贮藏的萝卜不清洗。</w:t>
      </w:r>
    </w:p>
    <w:p>
      <w:pPr>
        <w:pStyle w:val="108"/>
        <w:spacing w:before="156" w:after="156"/>
      </w:pPr>
      <w:bookmarkStart w:id="72" w:name="_Toc152073178"/>
      <w:r>
        <w:rPr>
          <w:rFonts w:hint="eastAsia"/>
        </w:rPr>
        <w:t>包装、贮存和运输管理</w:t>
      </w:r>
      <w:bookmarkEnd w:id="72"/>
    </w:p>
    <w:p>
      <w:pPr>
        <w:pStyle w:val="68"/>
        <w:spacing w:before="156" w:after="156"/>
      </w:pPr>
      <w:r>
        <w:rPr>
          <w:rFonts w:hint="eastAsia"/>
        </w:rPr>
        <w:t>包装</w:t>
      </w:r>
    </w:p>
    <w:p>
      <w:pPr>
        <w:pStyle w:val="59"/>
        <w:ind w:firstLine="420"/>
      </w:pPr>
      <w:r>
        <w:rPr>
          <w:rFonts w:hint="eastAsia"/>
        </w:rPr>
        <w:t>采用塑料袋或纸箱包装，包装材料要求应符合NY/T 658要求。</w:t>
      </w:r>
    </w:p>
    <w:p>
      <w:pPr>
        <w:pStyle w:val="68"/>
        <w:spacing w:before="156" w:after="156"/>
      </w:pPr>
      <w:r>
        <w:rPr>
          <w:rFonts w:hint="eastAsia"/>
        </w:rPr>
        <w:t>贮存</w:t>
      </w:r>
    </w:p>
    <w:p>
      <w:pPr>
        <w:pStyle w:val="59"/>
        <w:ind w:firstLine="420"/>
      </w:pPr>
      <w:r>
        <w:rPr>
          <w:rFonts w:hint="eastAsia"/>
        </w:rPr>
        <w:t>采收的萝卜，可入通风库或冷库贮存，库内温度宜为-0.5 ℃～0.5 ℃，相对湿度为90%～95%。合理堆码保证库内空气正常流通。产品贮存条件应符合NY/T 1056要求。贮藏期间，应选择代表性测点进行定时监测，并保存监测记录。</w:t>
      </w:r>
    </w:p>
    <w:p>
      <w:pPr>
        <w:pStyle w:val="68"/>
        <w:spacing w:before="156" w:after="156"/>
      </w:pPr>
      <w:r>
        <w:rPr>
          <w:rFonts w:hint="eastAsia"/>
        </w:rPr>
        <w:t>运输</w:t>
      </w:r>
    </w:p>
    <w:p>
      <w:pPr>
        <w:pStyle w:val="59"/>
        <w:ind w:firstLine="420"/>
      </w:pPr>
      <w:r>
        <w:rPr>
          <w:rFonts w:hint="eastAsia"/>
        </w:rPr>
        <w:t>不经储存直接长途运输的萝卜运输前应进行预冷，长途运输宜使用冷藏车辆进行运输，冷藏车厢内温度应控制温度在0 ℃～5 ℃。装卸时应轻拿轻放，严防机械损伤。产品运输条件应符合NY/T 1056要求。长途运输过程中应采取必要的保湿措施，并进行通风换气；应对运输温度和湿度进行监测记录。</w:t>
      </w:r>
    </w:p>
    <w:p>
      <w:pPr>
        <w:pStyle w:val="107"/>
        <w:spacing w:before="312" w:after="312"/>
      </w:pPr>
      <w:bookmarkStart w:id="73" w:name="_Toc152160154"/>
      <w:bookmarkStart w:id="74" w:name="_Toc152073196"/>
      <w:bookmarkStart w:id="75" w:name="_Toc152073179"/>
      <w:r>
        <w:rPr>
          <w:rFonts w:hint="eastAsia"/>
        </w:rPr>
        <w:t>产品质量控制</w:t>
      </w:r>
      <w:bookmarkEnd w:id="73"/>
      <w:bookmarkEnd w:id="74"/>
      <w:bookmarkEnd w:id="75"/>
    </w:p>
    <w:p>
      <w:pPr>
        <w:pStyle w:val="108"/>
        <w:spacing w:before="156" w:after="156"/>
      </w:pPr>
      <w:bookmarkStart w:id="76" w:name="_Toc152073180"/>
      <w:r>
        <w:rPr>
          <w:rFonts w:hint="eastAsia"/>
        </w:rPr>
        <w:t>产品抽检</w:t>
      </w:r>
      <w:bookmarkEnd w:id="76"/>
    </w:p>
    <w:p>
      <w:pPr>
        <w:pStyle w:val="168"/>
      </w:pPr>
      <w:r>
        <w:rPr>
          <w:rFonts w:hint="eastAsia"/>
        </w:rPr>
        <w:t>产品上市销售前应进行抽检。抽样方法可参照NY/T 896规定执行。</w:t>
      </w:r>
    </w:p>
    <w:p>
      <w:pPr>
        <w:pStyle w:val="168"/>
      </w:pPr>
      <w:r>
        <w:rPr>
          <w:rFonts w:hint="eastAsia"/>
        </w:rPr>
        <w:t>品质检验应按GB/T 5009.10、GB 5009.86的规定进行。</w:t>
      </w:r>
    </w:p>
    <w:p>
      <w:pPr>
        <w:pStyle w:val="168"/>
      </w:pPr>
      <w:r>
        <w:rPr>
          <w:rFonts w:hint="eastAsia"/>
        </w:rPr>
        <w:t>萝卜中污染物和农药残留的检验应分别按GB 2762和GB 2763的规定进行。农药残留检验参数应根据农药使用情况和GB 2763规定综合确定。</w:t>
      </w:r>
    </w:p>
    <w:p>
      <w:pPr>
        <w:pStyle w:val="168"/>
      </w:pPr>
      <w:r>
        <w:rPr>
          <w:rFonts w:hint="eastAsia"/>
        </w:rPr>
        <w:t>应保留抽样记录和样品检验记录。抽样记录应包括品种名称、产品批次、抽样日期、抽样区域、抽样方法、抽样数量、样品状况、样品编号、抽样人等。</w:t>
      </w:r>
    </w:p>
    <w:p>
      <w:pPr>
        <w:pStyle w:val="108"/>
        <w:spacing w:before="156" w:after="156"/>
      </w:pPr>
      <w:bookmarkStart w:id="77" w:name="_Toc152073181"/>
      <w:r>
        <w:rPr>
          <w:rFonts w:hint="eastAsia"/>
        </w:rPr>
        <w:t>可追溯体系</w:t>
      </w:r>
      <w:bookmarkEnd w:id="77"/>
    </w:p>
    <w:p>
      <w:pPr>
        <w:pStyle w:val="168"/>
      </w:pPr>
      <w:r>
        <w:rPr>
          <w:rFonts w:hint="eastAsia"/>
        </w:rPr>
        <w:t>应建立可追溯体系，生产批号作为生产过程各项记录的唯一编码，包括种植产地、产品名称、田块号等信息内容。</w:t>
      </w:r>
    </w:p>
    <w:p>
      <w:pPr>
        <w:pStyle w:val="168"/>
      </w:pPr>
      <w:r>
        <w:rPr>
          <w:rFonts w:hint="eastAsia"/>
        </w:rPr>
        <w:t>应保留萝卜生产全过程原始凭证和记录文件，各类记录应保存2年以上。</w:t>
      </w:r>
    </w:p>
    <w:p>
      <w:pPr>
        <w:pStyle w:val="108"/>
        <w:spacing w:before="156" w:after="156"/>
      </w:pPr>
      <w:bookmarkStart w:id="78" w:name="_Toc152073182"/>
      <w:r>
        <w:rPr>
          <w:rFonts w:hint="eastAsia"/>
        </w:rPr>
        <w:t>投诉处理</w:t>
      </w:r>
      <w:bookmarkEnd w:id="78"/>
    </w:p>
    <w:p>
      <w:pPr>
        <w:pStyle w:val="168"/>
      </w:pPr>
      <w:r>
        <w:rPr>
          <w:rFonts w:hint="eastAsia"/>
        </w:rPr>
        <w:t>应建立产品投诉处理制度。</w:t>
      </w:r>
    </w:p>
    <w:p>
      <w:pPr>
        <w:pStyle w:val="168"/>
      </w:pPr>
      <w:r>
        <w:rPr>
          <w:rFonts w:hint="eastAsia"/>
        </w:rPr>
        <w:t>对产品的意见反馈及有效投诉，应立即追查原因，采取相应纠正措施，并建立档案记录。</w:t>
      </w:r>
    </w:p>
    <w:p>
      <w:pPr>
        <w:pStyle w:val="107"/>
        <w:spacing w:before="312" w:after="312"/>
      </w:pPr>
      <w:bookmarkStart w:id="79" w:name="_Toc152160155"/>
      <w:bookmarkStart w:id="80" w:name="_Toc152073183"/>
      <w:bookmarkStart w:id="81" w:name="_Toc152073197"/>
      <w:r>
        <w:rPr>
          <w:rFonts w:hint="eastAsia"/>
        </w:rPr>
        <w:t>内部自查</w:t>
      </w:r>
      <w:bookmarkEnd w:id="79"/>
      <w:bookmarkEnd w:id="80"/>
      <w:bookmarkEnd w:id="81"/>
    </w:p>
    <w:p>
      <w:pPr>
        <w:pStyle w:val="165"/>
      </w:pPr>
      <w:r>
        <w:rPr>
          <w:rFonts w:hint="eastAsia"/>
        </w:rPr>
        <w:t>应按照本规范要求建立自查规程和自查表，至少每年进行1次内部自查，并保存相关记录。</w:t>
      </w:r>
    </w:p>
    <w:p>
      <w:pPr>
        <w:pStyle w:val="165"/>
      </w:pPr>
      <w:r>
        <w:rPr>
          <w:rFonts w:hint="eastAsia"/>
        </w:rPr>
        <w:t>应根据内部自查结果，对发现的问题及时进行整改，并完善相关制度。</w:t>
      </w:r>
    </w:p>
    <w:p>
      <w:pPr>
        <w:pStyle w:val="165"/>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15"/>
    <w:p>
      <w:pPr>
        <w:pStyle w:val="201"/>
        <w:rPr>
          <w:vanish w:val="0"/>
        </w:rPr>
      </w:pPr>
      <w:bookmarkStart w:id="82" w:name="BookMark5"/>
    </w:p>
    <w:p>
      <w:pPr>
        <w:pStyle w:val="202"/>
        <w:rPr>
          <w:vanish w:val="0"/>
        </w:rPr>
      </w:pPr>
    </w:p>
    <w:p>
      <w:pPr>
        <w:pStyle w:val="79"/>
        <w:spacing w:after="156"/>
      </w:pPr>
      <w:r>
        <w:br w:type="textWrapping"/>
      </w:r>
      <w:bookmarkStart w:id="83" w:name="_Toc152073198"/>
      <w:bookmarkStart w:id="84" w:name="_Toc152073184"/>
      <w:bookmarkStart w:id="85" w:name="_Toc152160156"/>
      <w:r>
        <w:rPr>
          <w:rFonts w:hint="eastAsia"/>
        </w:rPr>
        <w:t>（规范性）</w:t>
      </w:r>
      <w:r>
        <w:br w:type="textWrapping"/>
      </w:r>
      <w:r>
        <w:rPr>
          <w:rFonts w:hint="eastAsia"/>
        </w:rPr>
        <w:t>萝卜上禁止使用的农药</w:t>
      </w:r>
      <w:bookmarkEnd w:id="83"/>
      <w:bookmarkEnd w:id="84"/>
      <w:bookmarkEnd w:id="85"/>
    </w:p>
    <w:p>
      <w:pPr>
        <w:pStyle w:val="59"/>
        <w:ind w:firstLine="420"/>
      </w:pPr>
      <w:r>
        <w:rPr>
          <w:rFonts w:hint="eastAsia"/>
        </w:rPr>
        <w:t>萝卜上禁止使用的农药包括六六六、滴滴涕、毒杀芬、二溴氯丙烷、杀虫脒、二溴乙烷、除草醚、艾氏剂、狄氏剂、汞制剂、砷类、铅类、敌枯双、氟乙酰胺、甘氟、毒鼠强、氟乙酸钠、毒鼠硅、甲胺磷、对硫磷、甲基对硫磷、久效磷、磷胺、苯线磷、地虫硫磷、甲基硫环磷、磷化钙、磷化镁、磷化锌、硫线磷、蝇毒磷、治螟磷、特丁硫磷、氯磺隆、胺苯磺隆、甲磺隆、福美胂、福美甲胂、三氯杀螨醇、林丹、硫丹、溴甲烷、氟虫胺、杀扑磷、百草枯、2,4-滴丁酯、甲拌磷、甲基异柳磷、克百威、水胺硫磷、氧乐果、灭多威、涕灭威、灭线磷、内吸磷、硫环磷、氯唑磷、乙酰甲胺磷、丁硫克百威、乐果、毒死蜱、三唑磷、氟虫腈。</w:t>
      </w:r>
    </w:p>
    <w:p>
      <w:pPr>
        <w:pStyle w:val="59"/>
        <w:ind w:firstLine="420"/>
      </w:pPr>
    </w:p>
    <w:p>
      <w:pPr>
        <w:pStyle w:val="59"/>
        <w:ind w:firstLine="420"/>
      </w:pPr>
    </w:p>
    <w:p>
      <w:pPr>
        <w:pStyle w:val="59"/>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p>
    <w:p>
      <w:pPr>
        <w:pStyle w:val="201"/>
        <w:rPr>
          <w:vanish w:val="0"/>
        </w:rPr>
      </w:pPr>
    </w:p>
    <w:p>
      <w:pPr>
        <w:pStyle w:val="202"/>
        <w:rPr>
          <w:vanish w:val="0"/>
        </w:rPr>
      </w:pPr>
    </w:p>
    <w:p>
      <w:pPr>
        <w:pStyle w:val="79"/>
        <w:spacing w:after="156"/>
      </w:pPr>
      <w:r>
        <w:br w:type="textWrapping"/>
      </w:r>
      <w:bookmarkStart w:id="86" w:name="_Toc152073185"/>
      <w:bookmarkStart w:id="87" w:name="_Toc152073199"/>
      <w:bookmarkStart w:id="88" w:name="_Toc152160157"/>
      <w:r>
        <w:rPr>
          <w:rFonts w:hint="eastAsia"/>
        </w:rPr>
        <w:t>（规范性）</w:t>
      </w:r>
      <w:r>
        <w:br w:type="textWrapping"/>
      </w:r>
      <w:r>
        <w:rPr>
          <w:rFonts w:hint="eastAsia"/>
        </w:rPr>
        <w:t>萝卜主要病虫害登记的主要农药</w:t>
      </w:r>
      <w:bookmarkEnd w:id="86"/>
      <w:bookmarkEnd w:id="87"/>
      <w:bookmarkEnd w:id="88"/>
    </w:p>
    <w:p>
      <w:pPr>
        <w:pStyle w:val="81"/>
        <w:spacing w:before="156" w:after="156"/>
        <w:jc w:val="center"/>
      </w:pPr>
      <w:bookmarkStart w:id="89" w:name="_Toc152073186"/>
      <w:r>
        <w:rPr>
          <w:rFonts w:hint="eastAsia"/>
        </w:rPr>
        <w:t>萝卜主要病虫害登记的主要农药</w:t>
      </w:r>
      <w:bookmarkEnd w:id="89"/>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7"/>
        <w:gridCol w:w="72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117" w:type="dxa"/>
            <w:tcBorders>
              <w:top w:val="single" w:color="auto" w:sz="8" w:space="0"/>
              <w:bottom w:val="single" w:color="auto" w:sz="8" w:space="0"/>
            </w:tcBorders>
            <w:shd w:val="clear" w:color="auto" w:fill="auto"/>
          </w:tcPr>
          <w:p>
            <w:pPr>
              <w:snapToGrid w:val="0"/>
              <w:spacing w:line="320" w:lineRule="exact"/>
              <w:jc w:val="center"/>
              <w:rPr>
                <w:rFonts w:ascii="宋体" w:hAnsi="宋体"/>
                <w:b/>
                <w:kern w:val="0"/>
                <w:sz w:val="18"/>
                <w:szCs w:val="18"/>
              </w:rPr>
            </w:pPr>
            <w:r>
              <w:rPr>
                <w:rFonts w:hint="eastAsia" w:ascii="宋体" w:hAnsi="宋体"/>
                <w:b/>
                <w:kern w:val="0"/>
                <w:sz w:val="18"/>
                <w:szCs w:val="18"/>
              </w:rPr>
              <w:t>防治对象或用途</w:t>
            </w:r>
          </w:p>
        </w:tc>
        <w:tc>
          <w:tcPr>
            <w:tcW w:w="7217" w:type="dxa"/>
            <w:tcBorders>
              <w:top w:val="single" w:color="auto" w:sz="8" w:space="0"/>
              <w:bottom w:val="single" w:color="auto" w:sz="8" w:space="0"/>
            </w:tcBorders>
            <w:shd w:val="clear" w:color="auto" w:fill="auto"/>
          </w:tcPr>
          <w:p>
            <w:pPr>
              <w:snapToGrid w:val="0"/>
              <w:spacing w:line="320" w:lineRule="exact"/>
              <w:jc w:val="center"/>
              <w:rPr>
                <w:rFonts w:ascii="宋体" w:hAnsi="宋体"/>
                <w:b/>
                <w:kern w:val="0"/>
                <w:sz w:val="18"/>
                <w:szCs w:val="18"/>
              </w:rPr>
            </w:pPr>
            <w:r>
              <w:rPr>
                <w:rFonts w:hint="eastAsia" w:ascii="宋体" w:hAnsi="宋体"/>
                <w:b/>
                <w:kern w:val="0"/>
                <w:sz w:val="18"/>
                <w:szCs w:val="18"/>
              </w:rPr>
              <w:t>登记的主要农药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tcBorders>
              <w:top w:val="single" w:color="auto" w:sz="8" w:space="0"/>
            </w:tcBorders>
            <w:shd w:val="clear" w:color="auto" w:fill="auto"/>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炭疽病</w:t>
            </w:r>
          </w:p>
        </w:tc>
        <w:tc>
          <w:tcPr>
            <w:tcW w:w="7217" w:type="dxa"/>
            <w:tcBorders>
              <w:top w:val="single" w:color="auto" w:sz="8" w:space="0"/>
            </w:tcBorders>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戊唑</w:t>
            </w:r>
            <w:r>
              <w:rPr>
                <w:rFonts w:ascii="宋体" w:hAnsi="宋体" w:cs="Helvetica"/>
                <w:sz w:val="18"/>
                <w:szCs w:val="18"/>
                <w:shd w:val="clear" w:color="auto" w:fill="FFFFFF"/>
              </w:rPr>
              <w:t>·</w:t>
            </w:r>
            <w:r>
              <w:rPr>
                <w:rFonts w:hint="eastAsia" w:ascii="宋体" w:hAnsi="宋体" w:cs="宋体"/>
                <w:sz w:val="18"/>
                <w:szCs w:val="18"/>
                <w:shd w:val="clear" w:color="auto" w:fill="FFFFFF"/>
              </w:rPr>
              <w:t>嘧菌酯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蚜虫</w:t>
            </w:r>
          </w:p>
        </w:tc>
        <w:tc>
          <w:tcPr>
            <w:tcW w:w="7217" w:type="dxa"/>
            <w:shd w:val="clear" w:color="auto" w:fill="auto"/>
            <w:vAlign w:val="center"/>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啶虫脒、阿维</w:t>
            </w:r>
            <w:r>
              <w:rPr>
                <w:rFonts w:ascii="宋体" w:hAnsi="宋体" w:cs="Helvetica"/>
                <w:sz w:val="18"/>
                <w:szCs w:val="18"/>
                <w:shd w:val="clear" w:color="auto" w:fill="FFFFFF"/>
              </w:rPr>
              <w:t>·</w:t>
            </w:r>
            <w:r>
              <w:rPr>
                <w:rFonts w:hint="eastAsia" w:ascii="宋体" w:hAnsi="宋体" w:cs="宋体"/>
                <w:sz w:val="18"/>
                <w:szCs w:val="18"/>
                <w:shd w:val="clear" w:color="auto" w:fill="FFFFFF"/>
              </w:rPr>
              <w:t>吡虫啉、阿维</w:t>
            </w:r>
            <w:r>
              <w:rPr>
                <w:rFonts w:ascii="宋体" w:hAnsi="宋体" w:cs="Helvetica"/>
                <w:sz w:val="18"/>
                <w:szCs w:val="18"/>
                <w:shd w:val="clear" w:color="auto" w:fill="FFFFFF"/>
              </w:rPr>
              <w:t>·</w:t>
            </w:r>
            <w:r>
              <w:rPr>
                <w:rFonts w:hint="eastAsia" w:ascii="宋体" w:hAnsi="宋体" w:cs="宋体"/>
                <w:sz w:val="18"/>
                <w:szCs w:val="18"/>
                <w:shd w:val="clear" w:color="auto" w:fill="FFFFFF"/>
              </w:rPr>
              <w:t>吡虫啉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地老虎</w:t>
            </w:r>
          </w:p>
        </w:tc>
        <w:tc>
          <w:tcPr>
            <w:tcW w:w="7217" w:type="dxa"/>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金龟子绿僵菌</w:t>
            </w:r>
            <w:r>
              <w:rPr>
                <w:rFonts w:hint="eastAsia" w:ascii="宋体" w:hAnsi="宋体" w:cs="Helvetica"/>
                <w:sz w:val="18"/>
                <w:szCs w:val="18"/>
                <w:shd w:val="clear" w:color="auto" w:fill="FFFFFF"/>
              </w:rPr>
              <w:t>CQMa421</w:t>
            </w:r>
            <w:r>
              <w:rPr>
                <w:rFonts w:hint="eastAsia" w:ascii="宋体" w:hAnsi="宋体" w:cs="宋体"/>
                <w:sz w:val="18"/>
                <w:szCs w:val="18"/>
                <w:shd w:val="clear" w:color="auto" w:fill="FFFFFF"/>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黄条跳甲</w:t>
            </w:r>
          </w:p>
        </w:tc>
        <w:tc>
          <w:tcPr>
            <w:tcW w:w="7217" w:type="dxa"/>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啶虫脒、哒螨灵、联苯</w:t>
            </w:r>
            <w:r>
              <w:rPr>
                <w:rFonts w:ascii="宋体" w:hAnsi="宋体" w:cs="Helvetica"/>
                <w:sz w:val="18"/>
                <w:szCs w:val="18"/>
                <w:shd w:val="clear" w:color="auto" w:fill="FFFFFF"/>
              </w:rPr>
              <w:t>·</w:t>
            </w:r>
            <w:r>
              <w:rPr>
                <w:rFonts w:hint="eastAsia" w:ascii="宋体" w:hAnsi="宋体" w:cs="宋体"/>
                <w:sz w:val="18"/>
                <w:szCs w:val="18"/>
                <w:shd w:val="clear" w:color="auto" w:fill="FFFFFF"/>
              </w:rPr>
              <w:t>呋虫胺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小菜蛾</w:t>
            </w:r>
          </w:p>
        </w:tc>
        <w:tc>
          <w:tcPr>
            <w:tcW w:w="7217" w:type="dxa"/>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苏云金杆菌、阿维菌素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根结线虫</w:t>
            </w:r>
          </w:p>
        </w:tc>
        <w:tc>
          <w:tcPr>
            <w:tcW w:w="7217" w:type="dxa"/>
            <w:shd w:val="clear" w:color="auto" w:fill="auto"/>
            <w:vAlign w:val="center"/>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噻唑膦、噻唑膦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甜菜夜蛾</w:t>
            </w:r>
          </w:p>
        </w:tc>
        <w:tc>
          <w:tcPr>
            <w:tcW w:w="7217" w:type="dxa"/>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氟啶脲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shd w:val="clear" w:color="auto" w:fill="auto"/>
            <w:vAlign w:val="center"/>
          </w:tcPr>
          <w:p>
            <w:pPr>
              <w:snapToGrid w:val="0"/>
              <w:spacing w:line="320" w:lineRule="exact"/>
              <w:jc w:val="center"/>
              <w:rPr>
                <w:rFonts w:ascii="宋体" w:hAnsi="宋体" w:cs="Helvetica"/>
                <w:sz w:val="18"/>
                <w:szCs w:val="18"/>
                <w:shd w:val="clear" w:color="auto" w:fill="FFFFFF"/>
              </w:rPr>
            </w:pPr>
            <w:r>
              <w:rPr>
                <w:rFonts w:hint="eastAsia" w:ascii="宋体" w:hAnsi="宋体" w:cs="宋体"/>
                <w:sz w:val="18"/>
                <w:szCs w:val="18"/>
                <w:shd w:val="clear" w:color="auto" w:fill="FFFFFF"/>
              </w:rPr>
              <w:t>菜青虫</w:t>
            </w:r>
          </w:p>
        </w:tc>
        <w:tc>
          <w:tcPr>
            <w:tcW w:w="7217" w:type="dxa"/>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辛硫磷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tcBorders>
              <w:bottom w:val="single" w:color="auto" w:sz="8" w:space="0"/>
            </w:tcBorders>
            <w:shd w:val="clear" w:color="auto" w:fill="auto"/>
            <w:vAlign w:val="center"/>
          </w:tcPr>
          <w:p>
            <w:pPr>
              <w:snapToGrid w:val="0"/>
              <w:spacing w:line="320" w:lineRule="exact"/>
              <w:jc w:val="center"/>
              <w:rPr>
                <w:rFonts w:ascii="宋体" w:hAnsi="宋体" w:cs="Helvetica"/>
                <w:sz w:val="18"/>
                <w:szCs w:val="18"/>
                <w:shd w:val="clear" w:color="auto" w:fill="FFFFFF"/>
              </w:rPr>
            </w:pPr>
            <w:r>
              <w:rPr>
                <w:rFonts w:hint="eastAsia" w:ascii="宋体" w:hAnsi="宋体" w:cs="Helvetica"/>
                <w:sz w:val="18"/>
                <w:szCs w:val="18"/>
                <w:shd w:val="clear" w:color="auto" w:fill="FFFFFF"/>
              </w:rPr>
              <w:t>调节生长</w:t>
            </w:r>
          </w:p>
        </w:tc>
        <w:tc>
          <w:tcPr>
            <w:tcW w:w="7217" w:type="dxa"/>
            <w:tcBorders>
              <w:bottom w:val="single" w:color="auto" w:sz="8" w:space="0"/>
            </w:tcBorders>
            <w:shd w:val="clear" w:color="auto" w:fill="auto"/>
          </w:tcPr>
          <w:p>
            <w:pPr>
              <w:snapToGrid w:val="0"/>
              <w:spacing w:line="320" w:lineRule="exact"/>
              <w:jc w:val="left"/>
              <w:rPr>
                <w:rFonts w:ascii="宋体" w:hAnsi="宋体" w:cs="Helvetica"/>
                <w:sz w:val="18"/>
                <w:szCs w:val="18"/>
                <w:shd w:val="clear" w:color="auto" w:fill="FFFFFF"/>
              </w:rPr>
            </w:pPr>
            <w:r>
              <w:rPr>
                <w:rFonts w:hint="eastAsia" w:ascii="宋体" w:hAnsi="宋体" w:cs="宋体"/>
                <w:sz w:val="18"/>
                <w:szCs w:val="18"/>
                <w:shd w:val="clear" w:color="auto" w:fill="FFFFFF"/>
              </w:rPr>
              <w:t>氯化胆碱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2"/>
            <w:tcBorders>
              <w:top w:val="single" w:color="auto" w:sz="8" w:space="0"/>
              <w:bottom w:val="single" w:color="auto" w:sz="8" w:space="0"/>
            </w:tcBorders>
            <w:shd w:val="clear" w:color="auto" w:fill="auto"/>
            <w:vAlign w:val="center"/>
          </w:tcPr>
          <w:p>
            <w:pPr>
              <w:pStyle w:val="182"/>
            </w:pPr>
            <w:r>
              <w:rPr>
                <w:rFonts w:hint="eastAsia"/>
              </w:rPr>
              <w:t>萝卜上农药登记的实时情况以主管部门公布的信息为准。</w:t>
            </w:r>
          </w:p>
        </w:tc>
      </w:tr>
    </w:tbl>
    <w:p>
      <w:pPr>
        <w:pStyle w:val="59"/>
        <w:ind w:firstLine="420"/>
      </w:pPr>
    </w:p>
    <w:p>
      <w:pPr>
        <w:pStyle w:val="59"/>
        <w:ind w:firstLine="420"/>
      </w:pPr>
    </w:p>
    <w:p>
      <w:pPr>
        <w:pStyle w:val="59"/>
        <w:ind w:firstLine="420"/>
      </w:pPr>
    </w:p>
    <w:p>
      <w:pPr>
        <w:pStyle w:val="59"/>
        <w:ind w:firstLine="420"/>
      </w:pPr>
    </w:p>
    <w:bookmarkEnd w:id="82"/>
    <w:p>
      <w:pPr>
        <w:pStyle w:val="59"/>
        <w:ind w:firstLine="0" w:firstLineChars="0"/>
        <w:jc w:val="center"/>
      </w:pPr>
      <w:bookmarkStart w:id="90"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1"/>
                    <a:stretch>
                      <a:fillRect/>
                    </a:stretch>
                  </pic:blipFill>
                  <pic:spPr>
                    <a:xfrm>
                      <a:off x="0" y="0"/>
                      <a:ext cx="1485900" cy="317500"/>
                    </a:xfrm>
                    <a:prstGeom prst="rect">
                      <a:avLst/>
                    </a:prstGeom>
                  </pic:spPr>
                </pic:pic>
              </a:graphicData>
            </a:graphic>
          </wp:inline>
        </w:drawing>
      </w:r>
      <w:bookmarkEnd w:id="90"/>
    </w:p>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28—2023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28—2023</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28—2023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28—2023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28—2023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28—2023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28—2023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28—2023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DB3702/T 28—2023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DB3702/T 28—2023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71"/>
    <w:rsid w:val="0000040A"/>
    <w:rsid w:val="00000A94"/>
    <w:rsid w:val="00001972"/>
    <w:rsid w:val="00001D9A"/>
    <w:rsid w:val="00007B3A"/>
    <w:rsid w:val="000107E0"/>
    <w:rsid w:val="00011FDE"/>
    <w:rsid w:val="00012FFD"/>
    <w:rsid w:val="00014162"/>
    <w:rsid w:val="00014340"/>
    <w:rsid w:val="00016A9C"/>
    <w:rsid w:val="0002148F"/>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3E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4155"/>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7AF"/>
    <w:rsid w:val="00313B85"/>
    <w:rsid w:val="00317988"/>
    <w:rsid w:val="003221B4"/>
    <w:rsid w:val="0032258D"/>
    <w:rsid w:val="00322E62"/>
    <w:rsid w:val="00324D13"/>
    <w:rsid w:val="00324D2A"/>
    <w:rsid w:val="00324EDD"/>
    <w:rsid w:val="003331E4"/>
    <w:rsid w:val="00336C64"/>
    <w:rsid w:val="00337162"/>
    <w:rsid w:val="0034186E"/>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C9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71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5F02"/>
    <w:rsid w:val="00596160"/>
    <w:rsid w:val="005966E2"/>
    <w:rsid w:val="00597007"/>
    <w:rsid w:val="005A0966"/>
    <w:rsid w:val="005A11B7"/>
    <w:rsid w:val="005A260B"/>
    <w:rsid w:val="005A4A1B"/>
    <w:rsid w:val="005A7830"/>
    <w:rsid w:val="005A7FCE"/>
    <w:rsid w:val="005B0F3F"/>
    <w:rsid w:val="005B3CF3"/>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0EA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A3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071"/>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5F8"/>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2D99"/>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0F1"/>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4DE8"/>
    <w:rsid w:val="00EB5EDF"/>
    <w:rsid w:val="00EB60FE"/>
    <w:rsid w:val="00EB74DB"/>
    <w:rsid w:val="00EC5359"/>
    <w:rsid w:val="00EC562A"/>
    <w:rsid w:val="00EC56E0"/>
    <w:rsid w:val="00ED067A"/>
    <w:rsid w:val="00ED2B50"/>
    <w:rsid w:val="00EE0350"/>
    <w:rsid w:val="00EE0719"/>
    <w:rsid w:val="00EE0E80"/>
    <w:rsid w:val="00EE54A6"/>
    <w:rsid w:val="00EE613F"/>
    <w:rsid w:val="00EE6F14"/>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DE75E67"/>
    <w:rsid w:val="15B30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uiPriority w:val="0"/>
    <w:pPr>
      <w:ind w:left="198"/>
    </w:pPr>
    <w:rPr>
      <w:rFonts w:ascii="宋体" w:hAnsi="Times New Roman" w:eastAsia="宋体" w:cs="Times New Roman"/>
      <w:sz w:val="18"/>
      <w:lang w:val="en-US" w:eastAsia="zh-CN" w:bidi="ar-SA"/>
    </w:rPr>
  </w:style>
  <w:style w:type="paragraph" w:customStyle="1" w:styleId="55">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6">
    <w:name w:val="标准书眉一"/>
    <w:uiPriority w:val="0"/>
    <w:pPr>
      <w:jc w:val="both"/>
    </w:pPr>
    <w:rPr>
      <w:rFonts w:ascii="Times New Roman" w:hAnsi="Times New Roman" w:eastAsia="宋体" w:cs="Times New Roman"/>
      <w:lang w:val="en-US" w:eastAsia="zh-CN" w:bidi="ar-SA"/>
    </w:rPr>
  </w:style>
  <w:style w:type="paragraph" w:customStyle="1" w:styleId="57">
    <w:name w:val="标准文件_ICS"/>
    <w:basedOn w:val="1"/>
    <w:uiPriority w:val="0"/>
    <w:pPr>
      <w:spacing w:line="0" w:lineRule="atLeast"/>
    </w:pPr>
    <w:rPr>
      <w:rFonts w:ascii="黑体" w:hAnsi="宋体" w:eastAsia="黑体"/>
    </w:rPr>
  </w:style>
  <w:style w:type="paragraph" w:customStyle="1" w:styleId="58">
    <w:name w:val="标准文件_标准正文"/>
    <w:basedOn w:val="1"/>
    <w:next w:val="59"/>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uiPriority w:val="0"/>
    <w:pPr>
      <w:jc w:val="left"/>
    </w:pPr>
  </w:style>
  <w:style w:type="paragraph" w:customStyle="1" w:styleId="66">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uiPriority w:val="0"/>
    <w:rPr>
      <w:rFonts w:ascii="黑体" w:eastAsia="黑体"/>
      <w:spacing w:val="0"/>
      <w:w w:val="100"/>
      <w:position w:val="3"/>
      <w:sz w:val="28"/>
    </w:rPr>
  </w:style>
  <w:style w:type="paragraph" w:customStyle="1" w:styleId="70">
    <w:name w:val="标准文件_方框数字列项"/>
    <w:basedOn w:val="59"/>
    <w:uiPriority w:val="0"/>
    <w:pPr>
      <w:numPr>
        <w:ilvl w:val="0"/>
        <w:numId w:val="3"/>
      </w:numPr>
      <w:ind w:firstLine="0" w:firstLineChars="0"/>
    </w:pPr>
  </w:style>
  <w:style w:type="paragraph" w:customStyle="1" w:styleId="71">
    <w:name w:val="标准文件_封面标准编号"/>
    <w:basedOn w:val="1"/>
    <w:next w:val="62"/>
    <w:uiPriority w:val="0"/>
    <w:pPr>
      <w:spacing w:line="310" w:lineRule="exact"/>
      <w:jc w:val="right"/>
    </w:pPr>
    <w:rPr>
      <w:rFonts w:ascii="黑体" w:eastAsia="黑体"/>
      <w:kern w:val="0"/>
      <w:sz w:val="28"/>
    </w:rPr>
  </w:style>
  <w:style w:type="paragraph" w:customStyle="1" w:styleId="72">
    <w:name w:val="标准文件_封面标准分类号"/>
    <w:basedOn w:val="1"/>
    <w:uiPriority w:val="0"/>
    <w:rPr>
      <w:rFonts w:ascii="黑体" w:eastAsia="黑体"/>
      <w:b/>
      <w:kern w:val="0"/>
      <w:sz w:val="28"/>
    </w:rPr>
  </w:style>
  <w:style w:type="paragraph" w:customStyle="1" w:styleId="73">
    <w:name w:val="标准文件_封面标准名称"/>
    <w:basedOn w:val="1"/>
    <w:uiPriority w:val="0"/>
    <w:pPr>
      <w:spacing w:line="240" w:lineRule="auto"/>
      <w:jc w:val="center"/>
    </w:pPr>
    <w:rPr>
      <w:rFonts w:ascii="黑体" w:eastAsia="黑体"/>
      <w:kern w:val="0"/>
      <w:sz w:val="52"/>
    </w:rPr>
  </w:style>
  <w:style w:type="paragraph" w:customStyle="1" w:styleId="74">
    <w:name w:val="标准文件_封面标准英文名称"/>
    <w:basedOn w:val="1"/>
    <w:uiPriority w:val="0"/>
    <w:pPr>
      <w:spacing w:line="240" w:lineRule="auto"/>
      <w:jc w:val="center"/>
    </w:pPr>
    <w:rPr>
      <w:rFonts w:ascii="黑体" w:eastAsia="黑体"/>
      <w:b/>
      <w:sz w:val="28"/>
    </w:rPr>
  </w:style>
  <w:style w:type="paragraph" w:customStyle="1" w:styleId="75">
    <w:name w:val="标准文件_封面发布日期"/>
    <w:basedOn w:val="1"/>
    <w:uiPriority w:val="0"/>
    <w:pPr>
      <w:spacing w:line="310" w:lineRule="exact"/>
    </w:pPr>
    <w:rPr>
      <w:rFonts w:ascii="黑体" w:eastAsia="黑体"/>
      <w:kern w:val="0"/>
      <w:sz w:val="28"/>
    </w:rPr>
  </w:style>
  <w:style w:type="paragraph" w:customStyle="1" w:styleId="76">
    <w:name w:val="标准文件_封面密级"/>
    <w:basedOn w:val="1"/>
    <w:uiPriority w:val="0"/>
    <w:rPr>
      <w:rFonts w:eastAsia="黑体"/>
      <w:sz w:val="32"/>
    </w:rPr>
  </w:style>
  <w:style w:type="paragraph" w:customStyle="1" w:styleId="77">
    <w:name w:val="标准文件_封面实施日期"/>
    <w:basedOn w:val="1"/>
    <w:uiPriority w:val="0"/>
    <w:pPr>
      <w:spacing w:line="310" w:lineRule="exact"/>
      <w:jc w:val="right"/>
    </w:pPr>
    <w:rPr>
      <w:rFonts w:ascii="黑体" w:eastAsia="黑体"/>
      <w:sz w:val="28"/>
    </w:rPr>
  </w:style>
  <w:style w:type="paragraph" w:customStyle="1" w:styleId="78">
    <w:name w:val="标准文件_封面抬头"/>
    <w:basedOn w:val="59"/>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uiPriority w:val="0"/>
    <w:rPr>
      <w:kern w:val="2"/>
      <w:sz w:val="21"/>
      <w:szCs w:val="21"/>
    </w:rPr>
  </w:style>
  <w:style w:type="paragraph" w:customStyle="1" w:styleId="90">
    <w:name w:val="标准文件_附录章标题"/>
    <w:next w:val="59"/>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uiPriority w:val="0"/>
    <w:pPr>
      <w:ind w:left="488" w:leftChars="200" w:hanging="289" w:hangingChars="290"/>
    </w:pPr>
  </w:style>
  <w:style w:type="paragraph" w:customStyle="1" w:styleId="92">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uiPriority w:val="0"/>
    <w:pPr>
      <w:spacing w:line="460" w:lineRule="exact"/>
      <w:ind w:left="0" w:firstLine="0"/>
    </w:pPr>
  </w:style>
  <w:style w:type="paragraph" w:customStyle="1" w:styleId="94">
    <w:name w:val="标准文件_目录标题"/>
    <w:basedOn w:val="1"/>
    <w:uiPriority w:val="0"/>
    <w:pPr>
      <w:spacing w:before="480" w:after="150" w:afterLines="150" w:line="240" w:lineRule="auto"/>
      <w:jc w:val="center"/>
    </w:pPr>
    <w:rPr>
      <w:rFonts w:ascii="黑体" w:eastAsia="黑体"/>
      <w:sz w:val="32"/>
    </w:rPr>
  </w:style>
  <w:style w:type="paragraph" w:customStyle="1" w:styleId="95">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uiPriority w:val="0"/>
    <w:pPr>
      <w:numPr>
        <w:numId w:val="10"/>
      </w:numPr>
    </w:pPr>
  </w:style>
  <w:style w:type="paragraph" w:customStyle="1" w:styleId="97">
    <w:name w:val="标准文件_三级条标题"/>
    <w:basedOn w:val="68"/>
    <w:next w:val="59"/>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uiPriority w:val="0"/>
    <w:pPr>
      <w:adjustRightInd/>
      <w:spacing w:line="240" w:lineRule="auto"/>
      <w:ind w:firstLine="200" w:firstLineChars="200"/>
    </w:pPr>
    <w:rPr>
      <w:sz w:val="18"/>
      <w:szCs w:val="24"/>
    </w:rPr>
  </w:style>
  <w:style w:type="paragraph" w:customStyle="1" w:styleId="100">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uiPriority w:val="0"/>
    <w:rPr>
      <w:rFonts w:ascii="宋体"/>
      <w:kern w:val="2"/>
      <w:sz w:val="18"/>
      <w:szCs w:val="18"/>
    </w:rPr>
  </w:style>
  <w:style w:type="paragraph" w:customStyle="1" w:styleId="103">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uiPriority w:val="0"/>
    <w:pPr>
      <w:numPr>
        <w:ilvl w:val="0"/>
        <w:numId w:val="12"/>
      </w:numPr>
      <w:spacing w:line="240" w:lineRule="auto"/>
      <w:jc w:val="left"/>
    </w:pPr>
    <w:rPr>
      <w:rFonts w:ascii="宋体" w:hAnsi="宋体"/>
      <w:sz w:val="18"/>
    </w:rPr>
  </w:style>
  <w:style w:type="character" w:customStyle="1" w:styleId="105">
    <w:name w:val="标准文件_图表脚注内容"/>
    <w:uiPriority w:val="0"/>
    <w:rPr>
      <w:rFonts w:ascii="宋体" w:hAnsi="宋体" w:eastAsia="宋体" w:cs="Times New Roman"/>
      <w:spacing w:val="0"/>
      <w:sz w:val="18"/>
      <w:vertAlign w:val="superscript"/>
    </w:rPr>
  </w:style>
  <w:style w:type="paragraph" w:customStyle="1" w:styleId="106">
    <w:name w:val="标准文件_五级条标题"/>
    <w:next w:val="59"/>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uiPriority w:val="0"/>
    <w:pPr>
      <w:numPr>
        <w:ilvl w:val="2"/>
      </w:numPr>
      <w:spacing w:before="50" w:beforeLines="50" w:after="50" w:afterLines="50"/>
      <w:outlineLvl w:val="1"/>
    </w:pPr>
  </w:style>
  <w:style w:type="paragraph" w:customStyle="1" w:styleId="109">
    <w:name w:val="标准文件_一致程度"/>
    <w:basedOn w:val="1"/>
    <w:uiPriority w:val="0"/>
    <w:pPr>
      <w:spacing w:line="440" w:lineRule="exact"/>
      <w:jc w:val="center"/>
    </w:pPr>
    <w:rPr>
      <w:sz w:val="28"/>
    </w:rPr>
  </w:style>
  <w:style w:type="paragraph" w:customStyle="1" w:styleId="110">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uiPriority w:val="0"/>
    <w:pPr>
      <w:numPr>
        <w:ilvl w:val="3"/>
        <w:numId w:val="20"/>
      </w:numPr>
      <w:adjustRightInd/>
      <w:spacing w:line="240" w:lineRule="auto"/>
    </w:pPr>
    <w:rPr>
      <w:rFonts w:ascii="宋体" w:hAnsi="宋体"/>
      <w:szCs w:val="24"/>
    </w:rPr>
  </w:style>
  <w:style w:type="paragraph" w:customStyle="1" w:styleId="122">
    <w:name w:val="发布部门"/>
    <w:next w:val="59"/>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uiPriority w:val="0"/>
    <w:pPr>
      <w:outlineLvl w:val="5"/>
    </w:pPr>
  </w:style>
  <w:style w:type="paragraph" w:customStyle="1" w:styleId="134">
    <w:name w:val="附录图"/>
    <w:next w:val="59"/>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uiPriority w:val="0"/>
    <w:pPr>
      <w:outlineLvl w:val="6"/>
    </w:pPr>
  </w:style>
  <w:style w:type="paragraph" w:customStyle="1" w:styleId="137">
    <w:name w:val="附录性质"/>
    <w:basedOn w:val="1"/>
    <w:uiPriority w:val="0"/>
    <w:pPr>
      <w:widowControl/>
      <w:adjustRightInd/>
      <w:jc w:val="center"/>
    </w:pPr>
    <w:rPr>
      <w:rFonts w:ascii="黑体" w:eastAsia="黑体"/>
    </w:rPr>
  </w:style>
  <w:style w:type="paragraph" w:customStyle="1" w:styleId="138">
    <w:name w:val="附录一级无标题条"/>
    <w:basedOn w:val="90"/>
    <w:next w:val="59"/>
    <w:uiPriority w:val="0"/>
    <w:pPr>
      <w:autoSpaceDN w:val="0"/>
      <w:outlineLvl w:val="2"/>
    </w:pPr>
    <w:rPr>
      <w:rFonts w:ascii="宋体" w:hAnsi="宋体" w:eastAsia="宋体"/>
    </w:rPr>
  </w:style>
  <w:style w:type="character" w:customStyle="1" w:styleId="139">
    <w:name w:val="个人答复风格"/>
    <w:uiPriority w:val="0"/>
    <w:rPr>
      <w:rFonts w:ascii="Arial" w:hAnsi="Arial" w:eastAsia="宋体" w:cs="Arial"/>
      <w:color w:val="auto"/>
      <w:spacing w:val="0"/>
      <w:sz w:val="20"/>
    </w:rPr>
  </w:style>
  <w:style w:type="character" w:customStyle="1" w:styleId="140">
    <w:name w:val="个人撰写风格"/>
    <w:uiPriority w:val="0"/>
    <w:rPr>
      <w:rFonts w:ascii="Arial" w:hAnsi="Arial" w:eastAsia="宋体" w:cs="Arial"/>
      <w:color w:val="auto"/>
      <w:spacing w:val="0"/>
      <w:sz w:val="20"/>
    </w:rPr>
  </w:style>
  <w:style w:type="paragraph" w:customStyle="1" w:styleId="141">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uiPriority w:val="0"/>
    <w:pPr>
      <w:tabs>
        <w:tab w:val="left" w:pos="840"/>
      </w:tabs>
    </w:pPr>
  </w:style>
  <w:style w:type="paragraph" w:customStyle="1" w:styleId="144">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uiPriority w:val="0"/>
    <w:pPr>
      <w:adjustRightInd/>
      <w:spacing w:line="240" w:lineRule="auto"/>
      <w:jc w:val="left"/>
    </w:pPr>
    <w:rPr>
      <w:bCs/>
      <w:iCs/>
    </w:rPr>
  </w:style>
  <w:style w:type="paragraph" w:customStyle="1" w:styleId="146">
    <w:name w:val="目录 31"/>
    <w:basedOn w:val="1"/>
    <w:next w:val="1"/>
    <w:semiHidden/>
    <w:uiPriority w:val="0"/>
    <w:pPr>
      <w:spacing w:line="240" w:lineRule="auto"/>
    </w:pPr>
    <w:rPr>
      <w:rFonts w:ascii="宋体" w:hAnsi="宋体"/>
      <w:iCs/>
    </w:rPr>
  </w:style>
  <w:style w:type="paragraph" w:customStyle="1" w:styleId="147">
    <w:name w:val="目录 41"/>
    <w:basedOn w:val="1"/>
    <w:next w:val="1"/>
    <w:semiHidden/>
    <w:uiPriority w:val="0"/>
    <w:pPr>
      <w:adjustRightInd/>
      <w:spacing w:line="240" w:lineRule="auto"/>
      <w:jc w:val="left"/>
    </w:pPr>
  </w:style>
  <w:style w:type="paragraph" w:customStyle="1" w:styleId="148">
    <w:name w:val="目录 51"/>
    <w:basedOn w:val="1"/>
    <w:next w:val="1"/>
    <w:semiHidden/>
    <w:uiPriority w:val="0"/>
    <w:pPr>
      <w:spacing w:line="240" w:lineRule="auto"/>
    </w:pPr>
    <w:rPr>
      <w:rFonts w:ascii="宋体" w:hAnsi="宋体"/>
    </w:rPr>
  </w:style>
  <w:style w:type="paragraph" w:customStyle="1" w:styleId="149">
    <w:name w:val="目录 61"/>
    <w:basedOn w:val="1"/>
    <w:next w:val="1"/>
    <w:semiHidden/>
    <w:uiPriority w:val="0"/>
    <w:pPr>
      <w:adjustRightInd/>
      <w:spacing w:line="240" w:lineRule="auto"/>
      <w:jc w:val="left"/>
    </w:pPr>
  </w:style>
  <w:style w:type="paragraph" w:customStyle="1" w:styleId="150">
    <w:name w:val="目录 71"/>
    <w:basedOn w:val="149"/>
    <w:semiHidden/>
    <w:uiPriority w:val="0"/>
    <w:pPr>
      <w:ind w:left="1260"/>
    </w:pPr>
  </w:style>
  <w:style w:type="paragraph" w:customStyle="1" w:styleId="151">
    <w:name w:val="目录 81"/>
    <w:basedOn w:val="150"/>
    <w:semiHidden/>
    <w:uiPriority w:val="0"/>
    <w:pPr>
      <w:ind w:left="1470"/>
    </w:pPr>
  </w:style>
  <w:style w:type="paragraph" w:customStyle="1" w:styleId="152">
    <w:name w:val="目录 91"/>
    <w:basedOn w:val="151"/>
    <w:semiHidden/>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uiPriority w:val="0"/>
    <w:pPr>
      <w:framePr w:wrap="around"/>
      <w:spacing w:line="0" w:lineRule="atLeast"/>
    </w:pPr>
    <w:rPr>
      <w:rFonts w:ascii="黑体" w:eastAsia="黑体"/>
      <w:b w:val="0"/>
    </w:rPr>
  </w:style>
  <w:style w:type="paragraph" w:customStyle="1" w:styleId="155">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numPr>
        <w:ilvl w:val="4"/>
        <w:numId w:val="20"/>
      </w:numPr>
      <w:adjustRightInd/>
      <w:spacing w:line="240" w:lineRule="auto"/>
    </w:pPr>
    <w:rPr>
      <w:rFonts w:ascii="宋体" w:hAnsi="宋体"/>
      <w:szCs w:val="24"/>
    </w:rPr>
  </w:style>
  <w:style w:type="paragraph" w:customStyle="1" w:styleId="157">
    <w:name w:val="实施日期"/>
    <w:basedOn w:val="123"/>
    <w:uiPriority w:val="0"/>
    <w:pPr>
      <w:framePr w:hSpace="0" w:wrap="around" w:xAlign="right"/>
      <w:jc w:val="right"/>
    </w:pPr>
  </w:style>
  <w:style w:type="paragraph" w:customStyle="1" w:styleId="158">
    <w:name w:val="四级无标题条"/>
    <w:basedOn w:val="1"/>
    <w:uiPriority w:val="0"/>
    <w:pPr>
      <w:numPr>
        <w:ilvl w:val="5"/>
        <w:numId w:val="20"/>
      </w:numPr>
      <w:adjustRightInd/>
      <w:spacing w:line="240" w:lineRule="auto"/>
    </w:pPr>
    <w:rPr>
      <w:rFonts w:ascii="宋体" w:hAnsi="宋体"/>
      <w:szCs w:val="24"/>
    </w:rPr>
  </w:style>
  <w:style w:type="paragraph" w:customStyle="1" w:styleId="159">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uiPriority w:val="0"/>
    <w:pPr>
      <w:numPr>
        <w:ilvl w:val="6"/>
        <w:numId w:val="20"/>
      </w:numPr>
      <w:adjustRightInd/>
    </w:pPr>
    <w:rPr>
      <w:szCs w:val="24"/>
    </w:rPr>
  </w:style>
  <w:style w:type="paragraph" w:customStyle="1" w:styleId="162">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uiPriority w:val="0"/>
    <w:pPr>
      <w:framePr w:w="3997" w:h="471" w:hRule="exact" w:hSpace="0" w:vSpace="181" w:wrap="around" w:vAnchor="page" w:hAnchor="page" w:x="1419" w:y="14097"/>
    </w:pPr>
  </w:style>
  <w:style w:type="paragraph" w:customStyle="1" w:styleId="197">
    <w:name w:val="其他实施日期"/>
    <w:basedOn w:val="157"/>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wrap="around"/>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uiPriority w:val="0"/>
    <w:rPr>
      <w:rFonts w:ascii="黑体" w:eastAsia="黑体"/>
      <w:spacing w:val="85"/>
      <w:w w:val="100"/>
      <w:position w:val="3"/>
      <w:sz w:val="28"/>
      <w:szCs w:val="28"/>
    </w:rPr>
  </w:style>
  <w:style w:type="character" w:customStyle="1" w:styleId="233">
    <w:name w:val="批注文字 Char"/>
    <w:basedOn w:val="30"/>
    <w:link w:val="13"/>
    <w:semiHidden/>
    <w:uiPriority w:val="99"/>
    <w:rPr>
      <w:kern w:val="2"/>
      <w:sz w:val="21"/>
      <w:szCs w:val="21"/>
    </w:rPr>
  </w:style>
  <w:style w:type="character" w:customStyle="1" w:styleId="234">
    <w:name w:val="批注主题 Char"/>
    <w:basedOn w:val="233"/>
    <w:link w:val="27"/>
    <w:semiHidden/>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jpeg"/><Relationship Id="rId30" Type="http://schemas.openxmlformats.org/officeDocument/2006/relationships/image" Target="media/image1.tiff"/><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50B3A08EB374DAF91033B543A09CD20"/>
        <w:style w:val=""/>
        <w:category>
          <w:name w:val="常规"/>
          <w:gallery w:val="placeholder"/>
        </w:category>
        <w:types>
          <w:type w:val="bbPlcHdr"/>
        </w:types>
        <w:behaviors>
          <w:behavior w:val="content"/>
        </w:behaviors>
        <w:description w:val=""/>
        <w:guid w:val="{D714504E-7106-418E-855B-37348169D34D}"/>
      </w:docPartPr>
      <w:docPartBody>
        <w:p>
          <w:pPr>
            <w:pStyle w:val="5"/>
          </w:pPr>
          <w:r>
            <w:rPr>
              <w:rStyle w:val="4"/>
              <w:rFonts w:hint="eastAsia"/>
            </w:rPr>
            <w:t>单击或点击此处输入文字。</w:t>
          </w:r>
        </w:p>
      </w:docPartBody>
    </w:docPart>
    <w:docPart>
      <w:docPartPr>
        <w:name w:val="5FEA288D8E31477884DE6608CB75AB47"/>
        <w:style w:val=""/>
        <w:category>
          <w:name w:val="常规"/>
          <w:gallery w:val="placeholder"/>
        </w:category>
        <w:types>
          <w:type w:val="bbPlcHdr"/>
        </w:types>
        <w:behaviors>
          <w:behavior w:val="content"/>
        </w:behaviors>
        <w:description w:val=""/>
        <w:guid w:val="{0C25F21E-1CB2-4ABB-9051-B639001CCCE0}"/>
      </w:docPartPr>
      <w:docPartBody>
        <w:p>
          <w:pPr>
            <w:pStyle w:val="6"/>
          </w:pPr>
          <w:r>
            <w:rPr>
              <w:rStyle w:val="4"/>
              <w:rFonts w:hint="eastAsia"/>
            </w:rPr>
            <w:t>选择一项。</w:t>
          </w:r>
        </w:p>
      </w:docPartBody>
    </w:docPart>
    <w:docPart>
      <w:docPartPr>
        <w:name w:val="D5CD6B2E5A8B4190A5ECADE7884960F7"/>
        <w:style w:val=""/>
        <w:category>
          <w:name w:val="常规"/>
          <w:gallery w:val="placeholder"/>
        </w:category>
        <w:types>
          <w:type w:val="bbPlcHdr"/>
        </w:types>
        <w:behaviors>
          <w:behavior w:val="content"/>
        </w:behaviors>
        <w:description w:val=""/>
        <w:guid w:val="{424BC8E7-715A-4698-9538-C6C2743D4CC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0FA"/>
    <w:rsid w:val="001627B3"/>
    <w:rsid w:val="00313534"/>
    <w:rsid w:val="005534EF"/>
    <w:rsid w:val="006558CA"/>
    <w:rsid w:val="0067230A"/>
    <w:rsid w:val="007960FA"/>
    <w:rsid w:val="00BC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750B3A08EB374DAF91033B543A09CD2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FEA288D8E31477884DE6608CB75AB4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5CD6B2E5A8B4190A5ECADE7884960F7"/>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2D3883-2506-45DB-9B2B-4B3ECF144B21}">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936</Words>
  <Characters>5336</Characters>
  <Lines>44</Lines>
  <Paragraphs>12</Paragraphs>
  <TotalTime>89</TotalTime>
  <ScaleCrop>false</ScaleCrop>
  <LinksUpToDate>false</LinksUpToDate>
  <CharactersWithSpaces>6260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2023-11-28T05:49:00Z</dcterms:created>
  <dc:creator>Administrator</dc:creator>
  <dc:description>&lt;config cover="true" show_menu="true" version="1.0.0" doctype="SDKXY"&gt;_x000d_
&lt;/config&gt;</dc:description>
  <cp:lastModifiedBy>许</cp:lastModifiedBy>
  <cp:lastPrinted>2020-08-30T10:00:00Z</cp:lastPrinted>
  <dcterms:modified xsi:type="dcterms:W3CDTF">2023-12-08T02:50:27Z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2052-11.8.2.12085</vt:lpwstr>
  </property>
  <property fmtid="{D5CDD505-2E9C-101B-9397-08002B2CF9AE}" pid="16" name="ICV">
    <vt:lpwstr>B74647F8149E48A79E83E464C89BD902</vt:lpwstr>
  </property>
</Properties>
</file>