
<file path=[Content_Types].xml><?xml version="1.0" encoding="utf-8"?>
<Types xmlns="http://schemas.openxmlformats.org/package/2006/content-types">
  <Default Extension="xml" ContentType="application/xml"/>
  <Default Extension="tiff" ContentType="image/tif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B</w:t>
            </w:r>
            <w:r>
              <w:rPr>
                <w:rFonts w:ascii="黑体" w:hAnsi="黑体" w:eastAsia="黑体"/>
                <w:sz w:val="21"/>
                <w:szCs w:val="21"/>
              </w:rPr>
              <w:fldChar w:fldCharType="end"/>
            </w:r>
            <w:bookmarkEnd w:id="0"/>
            <w:r>
              <w:rPr>
                <w:rFonts w:hint="eastAsia" w:ascii="黑体" w:hAnsi="黑体" w:eastAsia="黑体"/>
                <w:sz w:val="21"/>
                <w:szCs w:val="21"/>
              </w:rPr>
              <w:t>31</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661" w:type="dxa"/>
          </w:tcPr>
          <w:p>
            <w:pPr>
              <w:pStyle w:val="52"/>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8"/>
        <w:framePr w:wrap="around"/>
      </w:pPr>
      <w:r>
        <w:t>DB</w:t>
      </w:r>
      <w:r>
        <w:fldChar w:fldCharType="begin">
          <w:ffData>
            <w:name w:val="文字1"/>
            <w:enabled/>
            <w:calcOnExit w:val="0"/>
            <w:textInput>
              <w:default w:val="XX"/>
            </w:textInput>
          </w:ffData>
        </w:fldChar>
      </w:r>
      <w:bookmarkStart w:id="3" w:name="文字1"/>
      <w:r>
        <w:instrText xml:space="preserve"> FORMTEXT </w:instrText>
      </w:r>
      <w:r>
        <w:fldChar w:fldCharType="separate"/>
      </w:r>
      <w:r>
        <w:t>3702/</w:t>
      </w:r>
      <w:r>
        <w:fldChar w:fldCharType="end"/>
      </w:r>
      <w:bookmarkEnd w:id="3"/>
      <w:r>
        <w:rPr>
          <w:rFonts w:hint="eastAsia"/>
        </w:rPr>
        <w:t>T 27.1—2023</w:t>
      </w:r>
      <w:r>
        <w:t xml:space="preserve"> </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t>地理标志产品</w:t>
      </w:r>
      <w:r>
        <w:rPr>
          <w:rFonts w:hint="eastAsia"/>
        </w:rPr>
        <w:t xml:space="preserve"> </w:t>
      </w:r>
      <w:r>
        <w:t>少山红杏</w:t>
      </w:r>
    </w:p>
    <w:p>
      <w:pPr>
        <w:pStyle w:val="200"/>
        <w:framePr w:h="6974" w:hRule="exact" w:wrap="around" w:x="1419" w:anchorLock="1"/>
      </w:pPr>
      <w:r>
        <w:t>第1部分：生产技术规程</w:t>
      </w:r>
    </w:p>
    <w:p>
      <w:pPr>
        <w:pStyle w:val="128"/>
        <w:framePr w:w="9639" w:h="6974" w:hRule="exact" w:wrap="around" w:vAnchor="page" w:hAnchor="page" w:x="1419" w:y="6408" w:anchorLock="1"/>
        <w:textAlignment w:val="bottom"/>
        <w:rPr>
          <w:rFonts w:eastAsia="黑体"/>
          <w:b/>
          <w:szCs w:val="28"/>
        </w:rPr>
      </w:pPr>
    </w:p>
    <w:p>
      <w:pPr>
        <w:pStyle w:val="128"/>
        <w:framePr w:w="9639" w:h="6974" w:hRule="exact" w:wrap="around" w:vAnchor="page" w:hAnchor="page" w:x="1419" w:y="6408" w:anchorLock="1"/>
        <w:textAlignment w:val="bottom"/>
        <w:rPr>
          <w:rFonts w:eastAsia="黑体"/>
          <w:szCs w:val="28"/>
        </w:rPr>
      </w:pPr>
      <w:r>
        <w:rPr>
          <w:rFonts w:eastAsia="黑体"/>
          <w:b/>
          <w:szCs w:val="28"/>
        </w:rPr>
        <w:t xml:space="preserve">Product of geographical indication—Shaoshan </w:t>
      </w:r>
      <w:r>
        <w:rPr>
          <w:rFonts w:hint="eastAsia" w:eastAsia="黑体"/>
          <w:b/>
          <w:szCs w:val="28"/>
        </w:rPr>
        <w:t>r</w:t>
      </w:r>
      <w:r>
        <w:rPr>
          <w:rFonts w:eastAsia="黑体"/>
          <w:b/>
          <w:szCs w:val="28"/>
        </w:rPr>
        <w:t xml:space="preserve">ed </w:t>
      </w:r>
      <w:r>
        <w:rPr>
          <w:rFonts w:hint="eastAsia" w:eastAsia="黑体"/>
          <w:b/>
          <w:szCs w:val="28"/>
        </w:rPr>
        <w:t>a</w:t>
      </w:r>
      <w:r>
        <w:rPr>
          <w:rFonts w:eastAsia="黑体"/>
          <w:b/>
          <w:szCs w:val="28"/>
        </w:rPr>
        <w:t>pricot—Part 1: Technical specification for production</w:t>
      </w:r>
    </w:p>
    <w:p>
      <w:pPr>
        <w:pStyle w:val="200"/>
        <w:framePr w:h="6974" w:hRule="exact" w:wrap="around" w:x="1419" w:anchorLock="1"/>
      </w:pPr>
    </w:p>
    <w:p>
      <w:pPr>
        <w:pStyle w:val="59"/>
        <w:ind w:firstLine="420"/>
      </w:pPr>
    </w:p>
    <w:p>
      <w:pPr>
        <w:pStyle w:val="59"/>
        <w:ind w:firstLine="420"/>
      </w:pPr>
    </w:p>
    <w:p>
      <w:pPr>
        <w:pStyle w:val="196"/>
        <w:framePr w:wrap="around" w:y="14176"/>
      </w:pPr>
      <w:r>
        <w:rPr>
          <w:rFonts w:hint="eastAsia" w:ascii="黑体"/>
        </w:rPr>
        <w:t>2023</w:t>
      </w:r>
      <w:r>
        <w:rPr>
          <w:rFonts w:ascii="黑体"/>
        </w:rPr>
        <w:t>-</w:t>
      </w:r>
      <w:r>
        <w:rPr>
          <w:rFonts w:hint="eastAsia" w:ascii="黑体"/>
          <w:lang w:val="en-US" w:eastAsia="zh-CN"/>
        </w:rPr>
        <w:t>12</w:t>
      </w:r>
      <w:r>
        <w:rPr>
          <w:rFonts w:ascii="黑体"/>
        </w:rPr>
        <w:t>-</w:t>
      </w:r>
      <w:r>
        <w:rPr>
          <w:rFonts w:hint="eastAsia" w:ascii="黑体"/>
          <w:lang w:val="en-US" w:eastAsia="zh-CN"/>
        </w:rPr>
        <w:t>8</w:t>
      </w:r>
      <w:r>
        <w:rPr>
          <w:rFonts w:hint="eastAsia" w:ascii="黑体"/>
        </w:rPr>
        <w:t xml:space="preserve">  </w:t>
      </w:r>
      <w:r>
        <w:rPr>
          <w:rFonts w:hint="eastAsia"/>
        </w:rPr>
        <w:t>发布</w:t>
      </w:r>
    </w:p>
    <w:p>
      <w:pPr>
        <w:pStyle w:val="197"/>
        <w:framePr w:wrap="around" w:y="14176"/>
      </w:pPr>
      <w:r>
        <w:rPr>
          <w:rFonts w:hint="eastAsia" w:ascii="黑体"/>
        </w:rPr>
        <w:t>202</w:t>
      </w:r>
      <w:r>
        <w:rPr>
          <w:rFonts w:hint="eastAsia" w:ascii="黑体"/>
          <w:lang w:val="en-US" w:eastAsia="zh-CN"/>
        </w:rPr>
        <w:t>4</w:t>
      </w:r>
      <w:r>
        <w:rPr>
          <w:rFonts w:ascii="黑体"/>
        </w:rPr>
        <w:t>-</w:t>
      </w:r>
      <w:r>
        <w:rPr>
          <w:rFonts w:hint="eastAsia" w:ascii="黑体"/>
          <w:lang w:val="en-US" w:eastAsia="zh-CN"/>
        </w:rPr>
        <w:t>1</w:t>
      </w:r>
      <w:r>
        <w:rPr>
          <w:rFonts w:ascii="黑体"/>
        </w:rPr>
        <w:t>-</w:t>
      </w:r>
      <w:r>
        <w:rPr>
          <w:rFonts w:hint="eastAsia" w:ascii="黑体"/>
          <w:lang w:val="en-US" w:eastAsia="zh-CN"/>
        </w:rPr>
        <w:t>1</w:t>
      </w:r>
      <w:bookmarkStart w:id="92" w:name="_GoBack"/>
      <w:bookmarkEnd w:id="92"/>
      <w:r>
        <w:rPr>
          <w:rFonts w:hint="eastAsia" w:ascii="黑体"/>
        </w:rPr>
        <w:t xml:space="preserve">  </w:t>
      </w:r>
      <w:r>
        <w:rPr>
          <w:rFonts w:hint="eastAsia"/>
        </w:rPr>
        <w:t>实施</w:t>
      </w:r>
    </w:p>
    <w:p>
      <w:pPr>
        <w:pStyle w:val="154"/>
        <w:framePr w:h="584" w:hRule="exact" w:hSpace="181" w:vSpace="181" w:wrap="around" w:vAnchor="page" w:hAnchor="page" w:x="1965" w:y="15181"/>
        <w:rPr>
          <w:rFonts w:hAnsi="黑体"/>
        </w:rPr>
      </w:pPr>
      <w:r>
        <w:rPr>
          <w:rFonts w:hint="eastAsia" w:ascii="Times New Roman"/>
          <w:w w:val="100"/>
          <w:sz w:val="28"/>
        </w:rPr>
        <w:t>青岛市市场监督管理局</w:t>
      </w:r>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4"/>
        <w:spacing w:after="468"/>
      </w:pPr>
      <w:bookmarkStart w:id="4" w:name="BookMark1"/>
      <w:bookmarkStart w:id="5" w:name="_Toc152076545"/>
      <w:bookmarkStart w:id="6" w:name="_Toc152145149"/>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"_Toc152159478" </w:instrText>
      </w:r>
      <w:r>
        <w:fldChar w:fldCharType="separate"/>
      </w:r>
      <w:r>
        <w:rPr>
          <w:rStyle w:val="34"/>
          <w:rFonts w:hint="eastAsia"/>
        </w:rPr>
        <w:t>前言</w:t>
      </w:r>
      <w:r>
        <w:tab/>
      </w:r>
      <w:r>
        <w:fldChar w:fldCharType="begin"/>
      </w:r>
      <w:r>
        <w:instrText xml:space="preserve"> PAGEREF _Toc152159478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"_Toc152159479" </w:instrText>
      </w:r>
      <w:r>
        <w:fldChar w:fldCharType="separate"/>
      </w:r>
      <w:r>
        <w:rPr>
          <w:rStyle w:val="34"/>
        </w:rPr>
        <w:t xml:space="preserve">1 </w:t>
      </w:r>
      <w:r>
        <w:rPr>
          <w:rStyle w:val="34"/>
          <w:rFonts w:hint="eastAsia"/>
        </w:rPr>
        <w:t xml:space="preserve"> 范围</w:t>
      </w:r>
      <w:r>
        <w:tab/>
      </w:r>
      <w:r>
        <w:fldChar w:fldCharType="begin"/>
      </w:r>
      <w:r>
        <w:instrText xml:space="preserve"> PAGEREF _Toc152159479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"_Toc152159480"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_Toc152159480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"_Toc152159481"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_Toc152159481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"_Toc152159482" </w:instrText>
      </w:r>
      <w:r>
        <w:fldChar w:fldCharType="separate"/>
      </w:r>
      <w:r>
        <w:rPr>
          <w:rStyle w:val="34"/>
        </w:rPr>
        <w:t xml:space="preserve">4 </w:t>
      </w:r>
      <w:r>
        <w:rPr>
          <w:rStyle w:val="34"/>
          <w:rFonts w:hint="eastAsia"/>
        </w:rPr>
        <w:t xml:space="preserve"> 保护范围</w:t>
      </w:r>
      <w:r>
        <w:tab/>
      </w:r>
      <w:r>
        <w:fldChar w:fldCharType="begin"/>
      </w:r>
      <w:r>
        <w:instrText xml:space="preserve"> PAGEREF _Toc152159482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"_Toc152159483" </w:instrText>
      </w:r>
      <w:r>
        <w:fldChar w:fldCharType="separate"/>
      </w:r>
      <w:r>
        <w:rPr>
          <w:rStyle w:val="34"/>
        </w:rPr>
        <w:t xml:space="preserve">5 </w:t>
      </w:r>
      <w:r>
        <w:rPr>
          <w:rStyle w:val="34"/>
          <w:rFonts w:hint="eastAsia"/>
        </w:rPr>
        <w:t xml:space="preserve"> 产地环境</w:t>
      </w:r>
      <w:r>
        <w:tab/>
      </w:r>
      <w:r>
        <w:fldChar w:fldCharType="begin"/>
      </w:r>
      <w:r>
        <w:instrText xml:space="preserve"> PAGEREF _Toc152159483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"_Toc152159484" </w:instrText>
      </w:r>
      <w:r>
        <w:fldChar w:fldCharType="separate"/>
      </w:r>
      <w:r>
        <w:rPr>
          <w:rStyle w:val="34"/>
        </w:rPr>
        <w:t xml:space="preserve">6 </w:t>
      </w:r>
      <w:r>
        <w:rPr>
          <w:rStyle w:val="34"/>
          <w:rFonts w:hint="eastAsia"/>
        </w:rPr>
        <w:t xml:space="preserve"> 生产管理</w:t>
      </w:r>
      <w:r>
        <w:tab/>
      </w:r>
      <w:r>
        <w:fldChar w:fldCharType="begin"/>
      </w:r>
      <w:r>
        <w:instrText xml:space="preserve"> PAGEREF _Toc152159484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"_Toc152159485" </w:instrText>
      </w:r>
      <w:r>
        <w:fldChar w:fldCharType="separate"/>
      </w:r>
      <w:r>
        <w:rPr>
          <w:rStyle w:val="34"/>
        </w:rPr>
        <w:t xml:space="preserve">6.1 </w:t>
      </w:r>
      <w:r>
        <w:rPr>
          <w:rStyle w:val="34"/>
          <w:rFonts w:hint="eastAsia"/>
        </w:rPr>
        <w:t xml:space="preserve"> 苗木生产</w:t>
      </w:r>
      <w:r>
        <w:tab/>
      </w:r>
      <w:r>
        <w:fldChar w:fldCharType="begin"/>
      </w:r>
      <w:r>
        <w:instrText xml:space="preserve"> PAGEREF _Toc152159485 \h </w:instrText>
      </w:r>
      <w:r>
        <w:fldChar w:fldCharType="separate"/>
      </w:r>
      <w:r>
        <w:t>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"_Toc152159486" </w:instrText>
      </w:r>
      <w:r>
        <w:fldChar w:fldCharType="separate"/>
      </w:r>
      <w:r>
        <w:rPr>
          <w:rStyle w:val="34"/>
        </w:rPr>
        <w:t xml:space="preserve">6.2 </w:t>
      </w:r>
      <w:r>
        <w:rPr>
          <w:rStyle w:val="34"/>
          <w:rFonts w:hint="eastAsia" w:hAnsi="黑体"/>
        </w:rPr>
        <w:t xml:space="preserve"> 建园</w:t>
      </w:r>
      <w:r>
        <w:tab/>
      </w:r>
      <w:r>
        <w:fldChar w:fldCharType="begin"/>
      </w:r>
      <w:r>
        <w:instrText xml:space="preserve"> PAGEREF _Toc152159486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"_Toc152159487" </w:instrText>
      </w:r>
      <w:r>
        <w:fldChar w:fldCharType="separate"/>
      </w:r>
      <w:r>
        <w:rPr>
          <w:rStyle w:val="34"/>
        </w:rPr>
        <w:t xml:space="preserve">6.3 </w:t>
      </w:r>
      <w:r>
        <w:rPr>
          <w:rStyle w:val="34"/>
          <w:rFonts w:hint="eastAsia"/>
        </w:rPr>
        <w:t xml:space="preserve"> 土肥水管理</w:t>
      </w:r>
      <w:r>
        <w:tab/>
      </w:r>
      <w:r>
        <w:fldChar w:fldCharType="begin"/>
      </w:r>
      <w:r>
        <w:instrText xml:space="preserve"> PAGEREF _Toc152159487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"_Toc152159488" </w:instrText>
      </w:r>
      <w:r>
        <w:fldChar w:fldCharType="separate"/>
      </w:r>
      <w:r>
        <w:rPr>
          <w:rStyle w:val="34"/>
        </w:rPr>
        <w:t xml:space="preserve">6.4 </w:t>
      </w:r>
      <w:r>
        <w:rPr>
          <w:rStyle w:val="34"/>
          <w:rFonts w:hint="eastAsia" w:hAnsi="黑体"/>
        </w:rPr>
        <w:t xml:space="preserve"> 修剪整形</w:t>
      </w:r>
      <w:r>
        <w:tab/>
      </w:r>
      <w:r>
        <w:fldChar w:fldCharType="begin"/>
      </w:r>
      <w:r>
        <w:instrText xml:space="preserve"> PAGEREF _Toc152159488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"_Toc152159489" </w:instrText>
      </w:r>
      <w:r>
        <w:fldChar w:fldCharType="separate"/>
      </w:r>
      <w:r>
        <w:rPr>
          <w:rStyle w:val="34"/>
        </w:rPr>
        <w:t xml:space="preserve">6.5 </w:t>
      </w:r>
      <w:r>
        <w:rPr>
          <w:rStyle w:val="34"/>
          <w:rFonts w:hint="eastAsia" w:hAnsi="黑体"/>
        </w:rPr>
        <w:t xml:space="preserve"> 花果管理</w:t>
      </w:r>
      <w:r>
        <w:tab/>
      </w:r>
      <w:r>
        <w:fldChar w:fldCharType="begin"/>
      </w:r>
      <w:r>
        <w:instrText xml:space="preserve"> PAGEREF _Toc152159489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"_Toc152159490" </w:instrText>
      </w:r>
      <w:r>
        <w:fldChar w:fldCharType="separate"/>
      </w:r>
      <w:r>
        <w:rPr>
          <w:rStyle w:val="34"/>
        </w:rPr>
        <w:t xml:space="preserve">6.6 </w:t>
      </w:r>
      <w:r>
        <w:rPr>
          <w:rStyle w:val="34"/>
          <w:rFonts w:hint="eastAsia"/>
        </w:rPr>
        <w:t xml:space="preserve"> 病虫害防治</w:t>
      </w:r>
      <w:r>
        <w:tab/>
      </w:r>
      <w:r>
        <w:fldChar w:fldCharType="begin"/>
      </w:r>
      <w:r>
        <w:instrText xml:space="preserve"> PAGEREF _Toc152159490 \h </w:instrText>
      </w:r>
      <w:r>
        <w:fldChar w:fldCharType="separate"/>
      </w:r>
      <w:r>
        <w:t>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"_Toc152159491" </w:instrText>
      </w:r>
      <w:r>
        <w:fldChar w:fldCharType="separate"/>
      </w:r>
      <w:r>
        <w:rPr>
          <w:rStyle w:val="34"/>
        </w:rPr>
        <w:t xml:space="preserve">7 </w:t>
      </w:r>
      <w:r>
        <w:rPr>
          <w:rStyle w:val="34"/>
          <w:rFonts w:hint="eastAsia" w:hAnsi="黑体"/>
        </w:rPr>
        <w:t xml:space="preserve"> 采收</w:t>
      </w:r>
      <w:r>
        <w:tab/>
      </w:r>
      <w:r>
        <w:fldChar w:fldCharType="begin"/>
      </w:r>
      <w:r>
        <w:instrText xml:space="preserve"> PAGEREF _Toc152159491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"_Toc152159492" </w:instrText>
      </w:r>
      <w:r>
        <w:fldChar w:fldCharType="separate"/>
      </w:r>
      <w:r>
        <w:rPr>
          <w:rStyle w:val="34"/>
        </w:rPr>
        <w:t xml:space="preserve">7.1 </w:t>
      </w:r>
      <w:r>
        <w:rPr>
          <w:rStyle w:val="34"/>
          <w:rFonts w:hint="eastAsia" w:hAnsi="黑体"/>
        </w:rPr>
        <w:t xml:space="preserve"> 采收时期</w:t>
      </w:r>
      <w:r>
        <w:tab/>
      </w:r>
      <w:r>
        <w:fldChar w:fldCharType="begin"/>
      </w:r>
      <w:r>
        <w:instrText xml:space="preserve"> PAGEREF _Toc152159492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"_Toc152159493" </w:instrText>
      </w:r>
      <w:r>
        <w:fldChar w:fldCharType="separate"/>
      </w:r>
      <w:r>
        <w:rPr>
          <w:rStyle w:val="34"/>
        </w:rPr>
        <w:t xml:space="preserve">7.2 </w:t>
      </w:r>
      <w:r>
        <w:rPr>
          <w:rStyle w:val="34"/>
          <w:rFonts w:hint="eastAsia" w:hAnsi="黑体"/>
        </w:rPr>
        <w:t xml:space="preserve"> 采收方法</w:t>
      </w:r>
      <w:r>
        <w:tab/>
      </w:r>
      <w:r>
        <w:fldChar w:fldCharType="begin"/>
      </w:r>
      <w:r>
        <w:instrText xml:space="preserve"> PAGEREF _Toc152159493 \h </w:instrText>
      </w:r>
      <w:r>
        <w:fldChar w:fldCharType="separate"/>
      </w:r>
      <w:r>
        <w:t>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"_Toc152159494" </w:instrText>
      </w:r>
      <w:r>
        <w:fldChar w:fldCharType="separate"/>
      </w:r>
      <w:r>
        <w:rPr>
          <w:rStyle w:val="34"/>
        </w:rPr>
        <w:t xml:space="preserve">8 </w:t>
      </w:r>
      <w:r>
        <w:rPr>
          <w:rStyle w:val="34"/>
          <w:rFonts w:hint="eastAsia"/>
        </w:rPr>
        <w:t xml:space="preserve"> 包装、标示、贮存和运输</w:t>
      </w:r>
      <w:r>
        <w:tab/>
      </w:r>
      <w:r>
        <w:fldChar w:fldCharType="begin"/>
      </w:r>
      <w:r>
        <w:instrText xml:space="preserve"> PAGEREF _Toc152159494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"_Toc152159495" </w:instrText>
      </w:r>
      <w:r>
        <w:fldChar w:fldCharType="separate"/>
      </w:r>
      <w:r>
        <w:rPr>
          <w:rStyle w:val="34"/>
        </w:rPr>
        <w:t xml:space="preserve">8.1 </w:t>
      </w:r>
      <w:r>
        <w:rPr>
          <w:rStyle w:val="34"/>
          <w:rFonts w:hint="eastAsia" w:hAnsi="黑体"/>
        </w:rPr>
        <w:t xml:space="preserve"> 包装</w:t>
      </w:r>
      <w:r>
        <w:tab/>
      </w:r>
      <w:r>
        <w:fldChar w:fldCharType="begin"/>
      </w:r>
      <w:r>
        <w:instrText xml:space="preserve"> PAGEREF _Toc152159495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"_Toc152159496" </w:instrText>
      </w:r>
      <w:r>
        <w:fldChar w:fldCharType="separate"/>
      </w:r>
      <w:r>
        <w:rPr>
          <w:rStyle w:val="34"/>
        </w:rPr>
        <w:t xml:space="preserve">8.2 </w:t>
      </w:r>
      <w:r>
        <w:rPr>
          <w:rStyle w:val="34"/>
          <w:rFonts w:hint="eastAsia" w:hAnsi="黑体"/>
        </w:rPr>
        <w:t xml:space="preserve"> 标识</w:t>
      </w:r>
      <w:r>
        <w:tab/>
      </w:r>
      <w:r>
        <w:fldChar w:fldCharType="begin"/>
      </w:r>
      <w:r>
        <w:instrText xml:space="preserve"> PAGEREF _Toc152159496 \h </w:instrText>
      </w:r>
      <w:r>
        <w:fldChar w:fldCharType="separate"/>
      </w:r>
      <w:r>
        <w:t>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"_Toc152159497" </w:instrText>
      </w:r>
      <w:r>
        <w:fldChar w:fldCharType="separate"/>
      </w:r>
      <w:r>
        <w:rPr>
          <w:rStyle w:val="34"/>
        </w:rPr>
        <w:t xml:space="preserve">8.3 </w:t>
      </w:r>
      <w:r>
        <w:rPr>
          <w:rStyle w:val="34"/>
          <w:rFonts w:hint="eastAsia" w:hAnsi="黑体"/>
        </w:rPr>
        <w:t xml:space="preserve"> 贮存</w:t>
      </w:r>
      <w:r>
        <w:tab/>
      </w:r>
      <w:r>
        <w:fldChar w:fldCharType="begin"/>
      </w:r>
      <w:r>
        <w:instrText xml:space="preserve"> PAGEREF _Toc152159497 \h </w:instrText>
      </w:r>
      <w:r>
        <w:fldChar w:fldCharType="separate"/>
      </w:r>
      <w:r>
        <w:t>9</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"_Toc152159498" </w:instrText>
      </w:r>
      <w:r>
        <w:fldChar w:fldCharType="separate"/>
      </w:r>
      <w:r>
        <w:rPr>
          <w:rStyle w:val="34"/>
        </w:rPr>
        <w:t xml:space="preserve">8.4 </w:t>
      </w:r>
      <w:r>
        <w:rPr>
          <w:rStyle w:val="34"/>
          <w:rFonts w:hint="eastAsia" w:hAnsi="黑体"/>
        </w:rPr>
        <w:t xml:space="preserve"> 运输</w:t>
      </w:r>
      <w:r>
        <w:tab/>
      </w:r>
      <w:r>
        <w:fldChar w:fldCharType="begin"/>
      </w:r>
      <w:r>
        <w:instrText xml:space="preserve"> PAGEREF _Toc152159498 \h </w:instrText>
      </w:r>
      <w:r>
        <w:fldChar w:fldCharType="separate"/>
      </w:r>
      <w:r>
        <w:t>9</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"_Toc152159499" </w:instrText>
      </w:r>
      <w:r>
        <w:fldChar w:fldCharType="separate"/>
      </w:r>
      <w:r>
        <w:rPr>
          <w:rStyle w:val="34"/>
        </w:rPr>
        <w:t xml:space="preserve">9 </w:t>
      </w:r>
      <w:r>
        <w:rPr>
          <w:rStyle w:val="34"/>
          <w:rFonts w:hint="eastAsia"/>
        </w:rPr>
        <w:t xml:space="preserve"> 生产档案</w:t>
      </w:r>
      <w:r>
        <w:tab/>
      </w:r>
      <w:r>
        <w:fldChar w:fldCharType="begin"/>
      </w:r>
      <w:r>
        <w:instrText xml:space="preserve"> PAGEREF _Toc152159499 \h </w:instrText>
      </w:r>
      <w:r>
        <w:fldChar w:fldCharType="separate"/>
      </w:r>
      <w:r>
        <w:t>9</w:t>
      </w:r>
      <w:r>
        <w:fldChar w:fldCharType="end"/>
      </w:r>
      <w:r>
        <w:fldChar w:fldCharType="end"/>
      </w:r>
    </w:p>
    <w:p>
      <w:pPr>
        <w:pStyle w:val="94"/>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4"/>
    <w:p>
      <w:pPr>
        <w:pStyle w:val="92"/>
        <w:spacing w:before="900" w:after="468"/>
      </w:pPr>
      <w:bookmarkStart w:id="7" w:name="_Toc152159478"/>
      <w:bookmarkStart w:id="8" w:name="BookMark2"/>
      <w:r>
        <w:rPr>
          <w:spacing w:val="320"/>
        </w:rPr>
        <w:t>前</w:t>
      </w:r>
      <w:r>
        <w:t>言</w:t>
      </w:r>
      <w:bookmarkEnd w:id="5"/>
      <w:bookmarkEnd w:id="6"/>
      <w:bookmarkEnd w:id="7"/>
    </w:p>
    <w:p>
      <w:pPr>
        <w:pStyle w:val="59"/>
        <w:ind w:firstLine="420"/>
        <w:rPr>
          <w:rFonts w:hAnsi="宋体" w:cs="宋体"/>
        </w:rPr>
      </w:pPr>
      <w:r>
        <w:rPr>
          <w:rFonts w:hint="eastAsia" w:hAnsi="宋体" w:cs="宋体"/>
        </w:rPr>
        <w:t>本文件按照GB/T 1.1—2020《标准化工作导则  第1部分：标准化文件的结构和起草规则》的规定起草。</w:t>
      </w:r>
    </w:p>
    <w:p>
      <w:pPr>
        <w:pStyle w:val="59"/>
        <w:ind w:firstLine="420"/>
        <w:rPr>
          <w:rFonts w:hAnsi="宋体" w:cs="宋体"/>
          <w:szCs w:val="21"/>
        </w:rPr>
      </w:pPr>
      <w:r>
        <w:rPr>
          <w:rFonts w:hint="eastAsia" w:hAnsi="宋体" w:cs="宋体"/>
        </w:rPr>
        <w:t>本文件DB 3702/T 27《地理标志产品少山杏》的第1部分。DB 3702/T 27已经发布以下部分：</w:t>
      </w:r>
    </w:p>
    <w:p>
      <w:pPr>
        <w:pStyle w:val="59"/>
        <w:ind w:firstLine="420"/>
        <w:rPr>
          <w:rFonts w:hAnsi="宋体" w:cs="宋体"/>
        </w:rPr>
      </w:pPr>
      <w:r>
        <w:rPr>
          <w:rFonts w:hint="eastAsia" w:hAnsi="宋体" w:cs="宋体"/>
        </w:rPr>
        <w:t xml:space="preserve">——第1部分：生产技术规程 </w:t>
      </w:r>
    </w:p>
    <w:p>
      <w:pPr>
        <w:pStyle w:val="59"/>
        <w:ind w:firstLine="420"/>
        <w:rPr>
          <w:rFonts w:hAnsi="宋体" w:cs="宋体"/>
        </w:rPr>
      </w:pPr>
      <w:r>
        <w:rPr>
          <w:rFonts w:hint="eastAsia" w:hAnsi="宋体" w:cs="宋体"/>
        </w:rPr>
        <w:t>——第2部分：质量标准</w:t>
      </w:r>
    </w:p>
    <w:p>
      <w:pPr>
        <w:pStyle w:val="59"/>
        <w:ind w:firstLine="420"/>
        <w:rPr>
          <w:rFonts w:hAnsi="宋体" w:cs="宋体"/>
        </w:rPr>
      </w:pPr>
      <w:r>
        <w:rPr>
          <w:rFonts w:hint="eastAsia" w:hAnsi="宋体" w:cs="宋体"/>
        </w:rPr>
        <w:t>本文件由青岛市农业农村局提出。</w:t>
      </w:r>
    </w:p>
    <w:p>
      <w:pPr>
        <w:pStyle w:val="59"/>
        <w:ind w:firstLine="420"/>
        <w:rPr>
          <w:rFonts w:hAnsi="宋体" w:cs="宋体"/>
        </w:rPr>
      </w:pPr>
      <w:r>
        <w:rPr>
          <w:rFonts w:hint="eastAsia" w:hAnsi="宋体" w:cs="宋体"/>
        </w:rPr>
        <w:t>本文件由青岛市农业农村标准化技术委员会归口。</w:t>
      </w:r>
    </w:p>
    <w:p>
      <w:pPr>
        <w:pStyle w:val="59"/>
        <w:ind w:firstLine="420"/>
        <w:rPr>
          <w:rFonts w:hAnsi="宋体" w:cs="宋体"/>
        </w:rPr>
      </w:pPr>
      <w:r>
        <w:rPr>
          <w:rFonts w:hint="eastAsia" w:hAnsi="宋体" w:cs="宋体"/>
        </w:rPr>
        <w:t>本文件起草单位：青岛市城阳区农业农村局、青岛市城市农人农业科技有限公司。</w:t>
      </w:r>
    </w:p>
    <w:p>
      <w:pPr>
        <w:pStyle w:val="59"/>
        <w:ind w:firstLine="420"/>
        <w:rPr>
          <w:rFonts w:hAnsi="宋体" w:cs="宋体"/>
        </w:rPr>
      </w:pPr>
      <w:r>
        <w:rPr>
          <w:rFonts w:hint="eastAsia" w:hAnsi="宋体" w:cs="宋体"/>
        </w:rPr>
        <w:t>本文件主要起草人：李宁、王志鹏、张玉玲、车豪杰、逄安、严德全、王向积、王琪昕、杨建波、杨铭鑫、刘建功、刘宝敬、栾兴亮、邢晓静、王丽丽、张国强、周宗贤、栾心波。</w:t>
      </w:r>
    </w:p>
    <w:p>
      <w:pPr>
        <w:pStyle w:val="59"/>
        <w:ind w:firstLine="420"/>
        <w:rPr>
          <w:rFonts w:hAnsi="宋体" w:cs="宋体"/>
        </w:rPr>
      </w:pPr>
    </w:p>
    <w:p>
      <w:pPr>
        <w:pStyle w:val="59"/>
        <w:ind w:firstLine="420"/>
      </w:pPr>
    </w:p>
    <w:p>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8"/>
    <w:p>
      <w:pPr>
        <w:spacing w:line="20" w:lineRule="exact"/>
        <w:jc w:val="center"/>
        <w:rPr>
          <w:rFonts w:ascii="黑体" w:hAnsi="黑体" w:eastAsia="黑体"/>
          <w:sz w:val="32"/>
          <w:szCs w:val="32"/>
        </w:rPr>
      </w:pPr>
      <w:bookmarkStart w:id="9" w:name="BookMark4"/>
    </w:p>
    <w:p>
      <w:pPr>
        <w:spacing w:line="20" w:lineRule="exact"/>
        <w:jc w:val="center"/>
        <w:rPr>
          <w:rFonts w:ascii="黑体" w:hAnsi="黑体" w:eastAsia="黑体"/>
          <w:sz w:val="32"/>
          <w:szCs w:val="32"/>
        </w:rPr>
      </w:pPr>
    </w:p>
    <w:sdt>
      <w:sdtPr>
        <w:tag w:val="NEW_STAND_NAME"/>
        <w:id w:val="595910757"/>
        <w:lock w:val="sdtLocked"/>
        <w:placeholder>
          <w:docPart w:val="{69c032df-24dc-4c71-bb74-303bc80a8abd}"/>
        </w:placeholder>
      </w:sdtPr>
      <w:sdtContent>
        <w:p>
          <w:pPr>
            <w:pStyle w:val="180"/>
            <w:spacing w:before="3" w:beforeLines="1" w:after="3" w:afterLines="1"/>
          </w:pPr>
          <w:bookmarkStart w:id="10" w:name="NEW_STAND_NAME"/>
          <w:r>
            <w:rPr>
              <w:rFonts w:hint="eastAsia"/>
            </w:rPr>
            <w:t xml:space="preserve">地理标志产品 </w:t>
          </w:r>
          <w:r>
            <w:t>少山红杏</w:t>
          </w:r>
          <w:r>
            <w:rPr>
              <w:rFonts w:hint="eastAsia"/>
            </w:rPr>
            <w:t xml:space="preserve"> 第</w:t>
          </w:r>
          <w:r>
            <w:t>1部分：生产技术规程</w:t>
          </w:r>
        </w:p>
      </w:sdtContent>
    </w:sdt>
    <w:bookmarkEnd w:id="10"/>
    <w:p>
      <w:pPr>
        <w:pStyle w:val="107"/>
        <w:spacing w:before="312" w:after="312"/>
      </w:pPr>
      <w:bookmarkStart w:id="11" w:name="_Toc26718930"/>
      <w:bookmarkStart w:id="12" w:name="_Toc26986530"/>
      <w:bookmarkStart w:id="13" w:name="_Toc17233325"/>
      <w:bookmarkStart w:id="14" w:name="_Toc24884218"/>
      <w:bookmarkStart w:id="15" w:name="_Toc152159479"/>
      <w:bookmarkStart w:id="16" w:name="_Toc17233333"/>
      <w:bookmarkStart w:id="17" w:name="_Toc152145150"/>
      <w:bookmarkStart w:id="18" w:name="_Toc24884211"/>
      <w:bookmarkStart w:id="19" w:name="_Toc97191423"/>
      <w:bookmarkStart w:id="20" w:name="_Toc26986771"/>
      <w:bookmarkStart w:id="21" w:name="_Toc26648465"/>
      <w:bookmarkStart w:id="22" w:name="_Toc152076546"/>
      <w:r>
        <w:rPr>
          <w:rFonts w:hint="eastAsia"/>
        </w:rPr>
        <w:t>范围</w:t>
      </w:r>
      <w:bookmarkEnd w:id="11"/>
      <w:bookmarkEnd w:id="12"/>
      <w:bookmarkEnd w:id="13"/>
      <w:bookmarkEnd w:id="14"/>
      <w:bookmarkEnd w:id="15"/>
      <w:bookmarkEnd w:id="16"/>
      <w:bookmarkEnd w:id="17"/>
      <w:bookmarkEnd w:id="18"/>
      <w:bookmarkEnd w:id="19"/>
      <w:bookmarkEnd w:id="20"/>
      <w:bookmarkEnd w:id="21"/>
      <w:bookmarkEnd w:id="22"/>
    </w:p>
    <w:p>
      <w:pPr>
        <w:pStyle w:val="59"/>
        <w:ind w:firstLine="420"/>
        <w:rPr>
          <w:rFonts w:ascii="Times New Roman"/>
          <w:szCs w:val="21"/>
        </w:rPr>
      </w:pPr>
      <w:bookmarkStart w:id="23" w:name="_Toc17233326"/>
      <w:bookmarkStart w:id="24" w:name="_Toc24884219"/>
      <w:bookmarkStart w:id="25" w:name="_Toc17233334"/>
      <w:bookmarkStart w:id="26" w:name="_Toc26648466"/>
      <w:bookmarkStart w:id="27" w:name="_Toc24884212"/>
      <w:r>
        <w:t>本文件规定了地理标志产品少山红杏生产的术语和定义、产地环境、生产管理、采收贮藏及生产档案。</w:t>
      </w:r>
    </w:p>
    <w:p>
      <w:pPr>
        <w:pStyle w:val="59"/>
        <w:ind w:firstLine="420"/>
        <w:rPr>
          <w:rFonts w:ascii="Times New Roman"/>
        </w:rPr>
      </w:pPr>
      <w:r>
        <w:t>本文件适用于农业农村部根据《农产品地理标志管理办法》批准保护的少山红杏生产。</w:t>
      </w:r>
    </w:p>
    <w:p>
      <w:pPr>
        <w:pStyle w:val="107"/>
        <w:spacing w:before="312" w:after="312"/>
      </w:pPr>
      <w:bookmarkStart w:id="28" w:name="_Toc26986531"/>
      <w:bookmarkStart w:id="29" w:name="_Toc152076547"/>
      <w:bookmarkStart w:id="30" w:name="_Toc26986772"/>
      <w:bookmarkStart w:id="31" w:name="_Toc152159480"/>
      <w:bookmarkStart w:id="32" w:name="_Toc152145151"/>
      <w:bookmarkStart w:id="33" w:name="_Toc26718931"/>
      <w:bookmarkStart w:id="34" w:name="_Toc97191424"/>
      <w:r>
        <w:rPr>
          <w:rFonts w:hint="eastAsia"/>
        </w:rPr>
        <w:t>规范性引用文件</w:t>
      </w:r>
      <w:bookmarkEnd w:id="23"/>
      <w:bookmarkEnd w:id="24"/>
      <w:bookmarkEnd w:id="25"/>
      <w:bookmarkEnd w:id="26"/>
      <w:bookmarkEnd w:id="27"/>
      <w:bookmarkEnd w:id="28"/>
      <w:bookmarkEnd w:id="29"/>
      <w:bookmarkEnd w:id="30"/>
      <w:bookmarkEnd w:id="31"/>
      <w:bookmarkEnd w:id="32"/>
      <w:bookmarkEnd w:id="33"/>
      <w:bookmarkEnd w:id="34"/>
    </w:p>
    <w:sdt>
      <w:sdtPr>
        <w:rPr>
          <w:rFonts w:hint="eastAsia"/>
        </w:rPr>
        <w:id w:val="715848253"/>
        <w:placeholder>
          <w:docPart w:val="{3fbcc09c-ac73-4c66-a4c6-6dd59cd3c20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pPr>
      <w:r>
        <w:rPr>
          <w:rFonts w:hint="eastAsia"/>
        </w:rPr>
        <w:t>GB/T 8321（所有部分）  农药合理使用准则</w:t>
      </w:r>
    </w:p>
    <w:p>
      <w:pPr>
        <w:pStyle w:val="59"/>
        <w:ind w:firstLine="420"/>
      </w:pPr>
      <w:r>
        <w:t>NY/T 393</w:t>
      </w:r>
      <w:r>
        <w:rPr>
          <w:rFonts w:hint="eastAsia"/>
        </w:rPr>
        <w:t>—</w:t>
      </w:r>
      <w:r>
        <w:t>2020</w:t>
      </w:r>
      <w:r>
        <w:rPr>
          <w:rFonts w:hint="eastAsia"/>
        </w:rPr>
        <w:t xml:space="preserve">  绿色食品  农药使用准则</w:t>
      </w:r>
    </w:p>
    <w:p>
      <w:pPr>
        <w:pStyle w:val="59"/>
        <w:ind w:firstLine="420"/>
      </w:pPr>
      <w:r>
        <w:rPr>
          <w:rFonts w:hint="eastAsia"/>
        </w:rPr>
        <w:t>NY/T 5010  无公害农产品种植业产地环境条件</w:t>
      </w:r>
    </w:p>
    <w:p>
      <w:pPr>
        <w:pStyle w:val="59"/>
        <w:ind w:firstLine="420"/>
      </w:pPr>
      <w:r>
        <w:rPr>
          <w:rFonts w:hint="eastAsia"/>
        </w:rPr>
        <w:t>农产品地理标志管理办法（中华人民共和国农业部令第11号）</w:t>
      </w:r>
    </w:p>
    <w:p>
      <w:pPr>
        <w:pStyle w:val="107"/>
        <w:spacing w:before="312" w:after="312"/>
      </w:pPr>
      <w:bookmarkStart w:id="35" w:name="_Toc152159481"/>
      <w:bookmarkStart w:id="36" w:name="_Toc152145152"/>
      <w:bookmarkStart w:id="37" w:name="_Toc152076548"/>
      <w:bookmarkStart w:id="38" w:name="_Toc97191425"/>
      <w:r>
        <w:rPr>
          <w:rFonts w:hint="eastAsia"/>
          <w:szCs w:val="21"/>
        </w:rPr>
        <w:t>术语和定义</w:t>
      </w:r>
      <w:bookmarkEnd w:id="35"/>
      <w:bookmarkEnd w:id="36"/>
      <w:bookmarkEnd w:id="37"/>
      <w:bookmarkEnd w:id="38"/>
    </w:p>
    <w:sdt>
      <w:sdtPr>
        <w:id w:val="-1909835108"/>
        <w:placeholder>
          <w:docPart w:val="{c45cc695-d3b3-47de-b2d3-e6a20644faf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39" w:name="_Toc26986532"/>
          <w:bookmarkEnd w:id="39"/>
          <w:r>
            <w:t>下列术语和定义适用于本文件。</w:t>
          </w:r>
        </w:p>
      </w:sdtContent>
    </w:sdt>
    <w:p>
      <w:pPr>
        <w:pStyle w:val="226"/>
        <w:ind w:left="420" w:hanging="420" w:hangingChars="200"/>
        <w:rPr>
          <w:rFonts w:ascii="黑体" w:hAnsi="黑体" w:eastAsia="黑体"/>
        </w:rPr>
      </w:pPr>
    </w:p>
    <w:p>
      <w:pPr>
        <w:pStyle w:val="226"/>
        <w:numPr>
          <w:ilvl w:val="2"/>
          <w:numId w:val="0"/>
        </w:numPr>
        <w:ind w:left="420" w:leftChars="200"/>
        <w:rPr>
          <w:rFonts w:ascii="黑体" w:hAnsi="黑体" w:eastAsia="黑体"/>
        </w:rPr>
      </w:pPr>
      <w:r>
        <w:rPr>
          <w:rFonts w:ascii="黑体" w:hAnsi="黑体" w:eastAsia="黑体"/>
        </w:rPr>
        <w:t>少山红杏</w:t>
      </w:r>
      <w:r>
        <w:rPr>
          <w:rFonts w:hint="eastAsia" w:ascii="黑体" w:hAnsi="黑体" w:eastAsia="黑体"/>
        </w:rPr>
        <w:t xml:space="preserve">  </w:t>
      </w:r>
      <w:r>
        <w:rPr>
          <w:rFonts w:ascii="Times New Roman" w:eastAsia="黑体"/>
        </w:rPr>
        <w:t xml:space="preserve">Shaoshan </w:t>
      </w:r>
      <w:r>
        <w:rPr>
          <w:rFonts w:hint="eastAsia" w:ascii="Times New Roman" w:eastAsia="黑体"/>
        </w:rPr>
        <w:t>r</w:t>
      </w:r>
      <w:r>
        <w:rPr>
          <w:rFonts w:ascii="Times New Roman" w:eastAsia="黑体"/>
        </w:rPr>
        <w:t xml:space="preserve">ed </w:t>
      </w:r>
      <w:r>
        <w:rPr>
          <w:rFonts w:hint="eastAsia" w:ascii="Times New Roman" w:eastAsia="黑体"/>
        </w:rPr>
        <w:t>a</w:t>
      </w:r>
      <w:r>
        <w:rPr>
          <w:rFonts w:ascii="Times New Roman" w:eastAsia="黑体"/>
        </w:rPr>
        <w:t>pricot</w:t>
      </w:r>
    </w:p>
    <w:p>
      <w:pPr>
        <w:pStyle w:val="59"/>
        <w:ind w:firstLine="420"/>
      </w:pPr>
      <w:r>
        <w:rPr>
          <w:rFonts w:hint="eastAsia"/>
        </w:rPr>
        <w:t>产自青岛市城阳区夏庄街道地理标志产品保护地域范围内，在独特的自然生态环境下，根据特定生产方式生产的鲜食杏果实。</w:t>
      </w:r>
    </w:p>
    <w:p>
      <w:pPr>
        <w:pStyle w:val="107"/>
        <w:spacing w:before="312" w:after="312"/>
        <w:rPr>
          <w:kern w:val="2"/>
          <w:szCs w:val="21"/>
        </w:rPr>
      </w:pPr>
      <w:bookmarkStart w:id="40" w:name="_Toc152159482"/>
      <w:r>
        <w:rPr>
          <w:rFonts w:hint="eastAsia"/>
          <w:kern w:val="2"/>
          <w:szCs w:val="21"/>
        </w:rPr>
        <w:t>保护范围</w:t>
      </w:r>
      <w:bookmarkEnd w:id="40"/>
    </w:p>
    <w:p>
      <w:pPr>
        <w:pStyle w:val="59"/>
        <w:ind w:firstLine="420"/>
        <w:rPr>
          <w:kern w:val="2"/>
          <w:szCs w:val="21"/>
        </w:rPr>
      </w:pPr>
      <w:r>
        <w:t>青岛市城阳区夏庄街道办事处所辖的少山、华阴、夏庄、太</w:t>
      </w:r>
      <w:r>
        <w:rPr>
          <w:rFonts w:hint="eastAsia"/>
        </w:rPr>
        <w:t>和</w:t>
      </w:r>
      <w:r>
        <w:t>、南屋石、太平庄等28个社区栽培的关爷脸、少山红杏（崂山红杏）、大麦黄、扁杏、佐世等品种,地理坐标为东经120</w:t>
      </w:r>
      <w:r>
        <w:rPr>
          <w:rFonts w:hint="eastAsia"/>
        </w:rPr>
        <w:t>.</w:t>
      </w:r>
      <w:r>
        <w:t>4583</w:t>
      </w:r>
      <w:r>
        <w:rPr>
          <w:rFonts w:hint="eastAsia"/>
        </w:rPr>
        <w:t>°～</w:t>
      </w:r>
      <w:r>
        <w:t>120.4657</w:t>
      </w:r>
      <w:r>
        <w:rPr>
          <w:rFonts w:hint="eastAsia"/>
        </w:rPr>
        <w:t>°</w:t>
      </w:r>
      <w:r>
        <w:t>，北纬36.2293</w:t>
      </w:r>
      <w:r>
        <w:rPr>
          <w:rFonts w:hint="eastAsia"/>
        </w:rPr>
        <w:t>°～</w:t>
      </w:r>
      <w:r>
        <w:t>36.2296</w:t>
      </w:r>
      <w:r>
        <w:rPr>
          <w:rFonts w:hint="eastAsia"/>
        </w:rPr>
        <w:t>°</w:t>
      </w:r>
      <w:r>
        <w:t>。</w:t>
      </w:r>
    </w:p>
    <w:p>
      <w:pPr>
        <w:pStyle w:val="107"/>
        <w:spacing w:before="312" w:after="312"/>
        <w:rPr>
          <w:rFonts w:ascii="Times New Roman"/>
          <w:szCs w:val="21"/>
        </w:rPr>
      </w:pPr>
      <w:bookmarkStart w:id="41" w:name="_Toc152159483"/>
      <w:bookmarkStart w:id="42" w:name="_Toc152076549"/>
      <w:bookmarkStart w:id="43" w:name="_Toc152145153"/>
      <w:r>
        <w:t>产地环境</w:t>
      </w:r>
      <w:bookmarkEnd w:id="41"/>
      <w:bookmarkEnd w:id="42"/>
      <w:bookmarkEnd w:id="43"/>
    </w:p>
    <w:p>
      <w:pPr>
        <w:pStyle w:val="59"/>
        <w:widowControl w:val="0"/>
        <w:spacing w:line="400" w:lineRule="exact"/>
        <w:ind w:firstLine="420"/>
        <w:rPr>
          <w:rFonts w:ascii="Times New Roman"/>
        </w:rPr>
      </w:pPr>
      <w:r>
        <w:rPr>
          <w:rFonts w:hAnsi="宋体"/>
        </w:rPr>
        <w:t>产地环境应符合</w:t>
      </w:r>
      <w:r>
        <w:rPr>
          <w:rFonts w:ascii="Times New Roman"/>
        </w:rPr>
        <w:t>NY/T 5010</w:t>
      </w:r>
      <w:r>
        <w:rPr>
          <w:rFonts w:hAnsi="宋体"/>
        </w:rPr>
        <w:t>的规定。</w:t>
      </w:r>
    </w:p>
    <w:p>
      <w:pPr>
        <w:pStyle w:val="107"/>
        <w:spacing w:before="312" w:after="312"/>
        <w:rPr>
          <w:rFonts w:ascii="Times New Roman"/>
        </w:rPr>
      </w:pPr>
      <w:bookmarkStart w:id="44" w:name="_Toc152159484"/>
      <w:bookmarkStart w:id="45" w:name="_Toc152145154"/>
      <w:bookmarkStart w:id="46" w:name="_Toc152076550"/>
      <w:r>
        <w:t>生产管理</w:t>
      </w:r>
      <w:bookmarkEnd w:id="44"/>
      <w:bookmarkEnd w:id="45"/>
      <w:bookmarkEnd w:id="46"/>
    </w:p>
    <w:p>
      <w:pPr>
        <w:pStyle w:val="108"/>
        <w:spacing w:before="156" w:after="156"/>
        <w:ind w:left="0"/>
      </w:pPr>
      <w:bookmarkStart w:id="47" w:name="_Toc152159485"/>
      <w:bookmarkStart w:id="48" w:name="_Toc152076551"/>
      <w:bookmarkStart w:id="49" w:name="_Toc152145155"/>
      <w:r>
        <w:t>苗木生产</w:t>
      </w:r>
      <w:bookmarkEnd w:id="47"/>
      <w:bookmarkEnd w:id="48"/>
      <w:bookmarkEnd w:id="49"/>
    </w:p>
    <w:p>
      <w:pPr>
        <w:pStyle w:val="68"/>
        <w:spacing w:before="156" w:after="156"/>
      </w:pPr>
      <w:r>
        <w:t>苗圃建立</w:t>
      </w:r>
    </w:p>
    <w:p>
      <w:pPr>
        <w:pStyle w:val="97"/>
        <w:spacing w:before="156" w:after="156"/>
      </w:pPr>
      <w:r>
        <w:t>苗圃地选择</w:t>
      </w:r>
    </w:p>
    <w:p>
      <w:pPr>
        <w:pStyle w:val="59"/>
        <w:ind w:firstLine="420"/>
        <w:rPr>
          <w:rFonts w:ascii="Times New Roman"/>
        </w:rPr>
      </w:pPr>
      <w:r>
        <w:rPr>
          <w:rFonts w:hAnsi="宋体"/>
        </w:rPr>
        <w:t>选择背风、向阳，地下水位</w:t>
      </w:r>
      <w:r>
        <w:rPr>
          <w:rFonts w:ascii="Times New Roman"/>
        </w:rPr>
        <w:t>1.5 m</w:t>
      </w:r>
      <w:r>
        <w:rPr>
          <w:rFonts w:hAnsi="宋体"/>
        </w:rPr>
        <w:t>以下、排灌条件良好，土壤</w:t>
      </w:r>
      <w:r>
        <w:rPr>
          <w:rFonts w:ascii="Times New Roman"/>
        </w:rPr>
        <w:t>pH</w:t>
      </w:r>
      <w:r>
        <w:rPr>
          <w:rFonts w:hAnsi="宋体"/>
        </w:rPr>
        <w:t>值</w:t>
      </w:r>
      <w:r>
        <w:rPr>
          <w:rFonts w:ascii="Times New Roman"/>
        </w:rPr>
        <w:t>6</w:t>
      </w:r>
      <w:r>
        <w:rPr>
          <w:rFonts w:hint="eastAsia" w:ascii="Times New Roman"/>
        </w:rPr>
        <w:t>～</w:t>
      </w:r>
      <w:r>
        <w:rPr>
          <w:rFonts w:ascii="Times New Roman"/>
        </w:rPr>
        <w:t>8</w:t>
      </w:r>
      <w:r>
        <w:rPr>
          <w:rFonts w:hAnsi="宋体"/>
        </w:rPr>
        <w:t>且肥力较高的壤土、沙壤土或轻质粘壤土作为苗圃地；前茬种植过杏、桃、樱桃、李的地块不应做苗圃地。</w:t>
      </w:r>
    </w:p>
    <w:p>
      <w:pPr>
        <w:pStyle w:val="97"/>
        <w:spacing w:before="156" w:after="156"/>
      </w:pPr>
      <w:r>
        <w:t>苗圃整地</w:t>
      </w:r>
    </w:p>
    <w:p>
      <w:pPr>
        <w:pStyle w:val="59"/>
        <w:ind w:firstLine="420"/>
        <w:rPr>
          <w:rFonts w:ascii="Times New Roman"/>
        </w:rPr>
      </w:pPr>
      <w:r>
        <w:rPr>
          <w:rFonts w:hAnsi="宋体"/>
        </w:rPr>
        <w:t>播种前，每</w:t>
      </w:r>
      <w:r>
        <w:rPr>
          <w:rFonts w:ascii="Times New Roman"/>
        </w:rPr>
        <w:t>667</w:t>
      </w:r>
      <w:r>
        <w:rPr>
          <w:rFonts w:hint="eastAsia" w:ascii="Times New Roman"/>
        </w:rPr>
        <w:t xml:space="preserve"> </w:t>
      </w:r>
      <w:r>
        <w:rPr>
          <w:rFonts w:ascii="Times New Roman"/>
        </w:rPr>
        <w:t>m</w:t>
      </w:r>
      <w:r>
        <w:rPr>
          <w:rFonts w:ascii="Times New Roman"/>
          <w:vertAlign w:val="superscript"/>
        </w:rPr>
        <w:t>2</w:t>
      </w:r>
      <w:r>
        <w:rPr>
          <w:rFonts w:hAnsi="宋体"/>
        </w:rPr>
        <w:t>撒施有机肥</w:t>
      </w:r>
      <w:r>
        <w:rPr>
          <w:rFonts w:ascii="Times New Roman"/>
        </w:rPr>
        <w:t>2000</w:t>
      </w:r>
      <w:r>
        <w:rPr>
          <w:rFonts w:hint="eastAsia" w:ascii="Times New Roman"/>
        </w:rPr>
        <w:t xml:space="preserve"> </w:t>
      </w:r>
      <w:r>
        <w:rPr>
          <w:rFonts w:ascii="Times New Roman"/>
        </w:rPr>
        <w:t>kg</w:t>
      </w:r>
      <w:r>
        <w:rPr>
          <w:rFonts w:hint="eastAsia" w:ascii="Times New Roman"/>
        </w:rPr>
        <w:t>～</w:t>
      </w:r>
      <w:r>
        <w:rPr>
          <w:rFonts w:ascii="Times New Roman"/>
        </w:rPr>
        <w:t>3000</w:t>
      </w:r>
      <w:r>
        <w:rPr>
          <w:rFonts w:hint="eastAsia" w:ascii="Times New Roman"/>
        </w:rPr>
        <w:t xml:space="preserve"> </w:t>
      </w:r>
      <w:r>
        <w:rPr>
          <w:rFonts w:ascii="Times New Roman"/>
        </w:rPr>
        <w:t>kg</w:t>
      </w:r>
      <w:r>
        <w:rPr>
          <w:rFonts w:hAnsi="宋体"/>
        </w:rPr>
        <w:t>，将肥料翻入土中，翻耕深度</w:t>
      </w:r>
      <w:r>
        <w:rPr>
          <w:rFonts w:ascii="Times New Roman"/>
        </w:rPr>
        <w:t>30</w:t>
      </w:r>
      <w:r>
        <w:rPr>
          <w:rFonts w:hint="eastAsia" w:ascii="Times New Roman"/>
        </w:rPr>
        <w:t xml:space="preserve"> </w:t>
      </w:r>
      <w:r>
        <w:rPr>
          <w:rFonts w:ascii="Times New Roman"/>
        </w:rPr>
        <w:t>cm</w:t>
      </w:r>
      <w:r>
        <w:rPr>
          <w:rFonts w:hAnsi="宋体"/>
        </w:rPr>
        <w:t>左右，及时耙平保墒，灌水沉实；整地后，按宽</w:t>
      </w:r>
      <w:r>
        <w:rPr>
          <w:rFonts w:ascii="Times New Roman"/>
        </w:rPr>
        <w:t>1.2</w:t>
      </w:r>
      <w:r>
        <w:rPr>
          <w:rFonts w:hint="eastAsia" w:ascii="Times New Roman"/>
        </w:rPr>
        <w:t xml:space="preserve"> </w:t>
      </w:r>
      <w:r>
        <w:rPr>
          <w:rFonts w:ascii="Times New Roman"/>
        </w:rPr>
        <w:t>m</w:t>
      </w:r>
      <w:r>
        <w:rPr>
          <w:rFonts w:hAnsi="宋体"/>
        </w:rPr>
        <w:t>、长</w:t>
      </w:r>
      <w:r>
        <w:rPr>
          <w:rFonts w:ascii="Times New Roman"/>
        </w:rPr>
        <w:t>10</w:t>
      </w:r>
      <w:r>
        <w:rPr>
          <w:rFonts w:hint="eastAsia" w:ascii="Times New Roman"/>
        </w:rPr>
        <w:t xml:space="preserve"> </w:t>
      </w:r>
      <w:r>
        <w:rPr>
          <w:rFonts w:ascii="Times New Roman"/>
        </w:rPr>
        <w:t>m</w:t>
      </w:r>
      <w:r>
        <w:rPr>
          <w:rFonts w:hint="eastAsia" w:ascii="Times New Roman"/>
        </w:rPr>
        <w:t>～</w:t>
      </w:r>
      <w:r>
        <w:rPr>
          <w:rFonts w:ascii="Times New Roman"/>
        </w:rPr>
        <w:t>15</w:t>
      </w:r>
      <w:r>
        <w:rPr>
          <w:rFonts w:hint="eastAsia" w:ascii="Times New Roman"/>
        </w:rPr>
        <w:t xml:space="preserve"> </w:t>
      </w:r>
      <w:r>
        <w:rPr>
          <w:rFonts w:ascii="Times New Roman"/>
        </w:rPr>
        <w:t>m</w:t>
      </w:r>
      <w:r>
        <w:rPr>
          <w:rFonts w:hAnsi="宋体"/>
        </w:rPr>
        <w:t>做畦。</w:t>
      </w:r>
    </w:p>
    <w:p>
      <w:pPr>
        <w:pStyle w:val="97"/>
        <w:spacing w:before="156" w:after="156"/>
      </w:pPr>
      <w:r>
        <w:t>苗圃规划</w:t>
      </w:r>
    </w:p>
    <w:p>
      <w:pPr>
        <w:pStyle w:val="59"/>
        <w:ind w:firstLine="420"/>
        <w:rPr>
          <w:rFonts w:ascii="Times New Roman"/>
        </w:rPr>
      </w:pPr>
      <w:r>
        <w:rPr>
          <w:rFonts w:hAnsi="宋体"/>
        </w:rPr>
        <w:t>苗圃应包括采穗圃和繁殖区两部分，比例为</w:t>
      </w:r>
      <w:r>
        <w:rPr>
          <w:rFonts w:ascii="Times New Roman"/>
        </w:rPr>
        <w:t>1</w:t>
      </w:r>
      <w:r>
        <w:rPr>
          <w:rFonts w:hint="eastAsia" w:hAnsi="宋体"/>
        </w:rPr>
        <w:t>：</w:t>
      </w:r>
      <w:r>
        <w:rPr>
          <w:rFonts w:ascii="Times New Roman"/>
        </w:rPr>
        <w:t>30</w:t>
      </w:r>
      <w:r>
        <w:rPr>
          <w:rFonts w:hAnsi="宋体"/>
        </w:rPr>
        <w:t>；每部分规划小区、畦，统一编号；对各小区畦内的品种登记建档，本着方便管理、节省开支、少占土地的原则规划道路、房屋和排灌系统。</w:t>
      </w:r>
    </w:p>
    <w:p>
      <w:pPr>
        <w:pStyle w:val="68"/>
        <w:spacing w:before="156" w:after="156"/>
      </w:pPr>
      <w:r>
        <w:t>砧木苗培育</w:t>
      </w:r>
    </w:p>
    <w:p>
      <w:pPr>
        <w:pStyle w:val="97"/>
        <w:spacing w:before="156" w:after="156"/>
        <w:rPr>
          <w:rFonts w:ascii="Times New Roman"/>
        </w:rPr>
      </w:pPr>
      <w:r>
        <w:t>砧木种子的选择、采集和保存</w:t>
      </w:r>
    </w:p>
    <w:p>
      <w:pPr>
        <w:pStyle w:val="59"/>
        <w:ind w:firstLine="420"/>
        <w:rPr>
          <w:rFonts w:ascii="Times New Roman"/>
        </w:rPr>
      </w:pPr>
      <w:r>
        <w:rPr>
          <w:rFonts w:hAnsi="宋体"/>
        </w:rPr>
        <w:t>选择普通杏、山杏的种子；采集生长健壮、无病虫害的母株上充分成熟的果实，及时剥去果肉、取出种子，清洗干净，摊放在阴凉通风处晾晒；待种子含水量</w:t>
      </w:r>
      <w:r>
        <w:rPr>
          <w:rFonts w:ascii="Times New Roman"/>
        </w:rPr>
        <w:t>30%</w:t>
      </w:r>
      <w:r>
        <w:rPr>
          <w:rFonts w:hAnsi="宋体"/>
        </w:rPr>
        <w:t>左右，收集存放在冷凉、干燥、通风良好的库房内。</w:t>
      </w:r>
    </w:p>
    <w:p>
      <w:pPr>
        <w:pStyle w:val="97"/>
        <w:spacing w:before="156" w:after="156"/>
      </w:pPr>
      <w:r>
        <w:t>种子处理</w:t>
      </w:r>
    </w:p>
    <w:p>
      <w:pPr>
        <w:pStyle w:val="59"/>
        <w:ind w:firstLine="420"/>
        <w:rPr>
          <w:rFonts w:ascii="Times New Roman"/>
        </w:rPr>
      </w:pPr>
      <w:r>
        <w:rPr>
          <w:rFonts w:hAnsi="宋体"/>
        </w:rPr>
        <w:t>春播的种子应进行沙藏层积处理，处理前用水浸泡</w:t>
      </w:r>
      <w:r>
        <w:rPr>
          <w:rFonts w:ascii="Times New Roman"/>
        </w:rPr>
        <w:t>3</w:t>
      </w:r>
      <w:r>
        <w:rPr>
          <w:rFonts w:hint="eastAsia" w:ascii="Times New Roman"/>
        </w:rPr>
        <w:t xml:space="preserve"> </w:t>
      </w:r>
      <w:r>
        <w:rPr>
          <w:rFonts w:ascii="Times New Roman"/>
        </w:rPr>
        <w:t>d</w:t>
      </w:r>
      <w:r>
        <w:rPr>
          <w:rFonts w:hint="eastAsia" w:ascii="Times New Roman"/>
        </w:rPr>
        <w:t>～</w:t>
      </w:r>
      <w:r>
        <w:rPr>
          <w:rFonts w:ascii="Times New Roman"/>
        </w:rPr>
        <w:t>4</w:t>
      </w:r>
      <w:r>
        <w:rPr>
          <w:rFonts w:hint="eastAsia" w:ascii="Times New Roman"/>
        </w:rPr>
        <w:t xml:space="preserve"> </w:t>
      </w:r>
      <w:r>
        <w:rPr>
          <w:rFonts w:ascii="Times New Roman"/>
        </w:rPr>
        <w:t>d</w:t>
      </w:r>
      <w:r>
        <w:rPr>
          <w:rFonts w:hAnsi="宋体"/>
        </w:rPr>
        <w:t>。种子层积时，容器或沟底铺约</w:t>
      </w:r>
      <w:r>
        <w:rPr>
          <w:rFonts w:ascii="Times New Roman"/>
        </w:rPr>
        <w:t>5</w:t>
      </w:r>
      <w:r>
        <w:rPr>
          <w:rFonts w:hint="eastAsia" w:ascii="Times New Roman"/>
        </w:rPr>
        <w:t xml:space="preserve"> </w:t>
      </w:r>
      <w:r>
        <w:rPr>
          <w:rFonts w:ascii="Times New Roman"/>
        </w:rPr>
        <w:t>cm</w:t>
      </w:r>
      <w:r>
        <w:rPr>
          <w:rFonts w:hAnsi="宋体"/>
        </w:rPr>
        <w:t>厚干净湿润的河沙，河沙的用量为种子体积的</w:t>
      </w:r>
      <w:r>
        <w:rPr>
          <w:rFonts w:ascii="Times New Roman"/>
        </w:rPr>
        <w:t>5~10</w:t>
      </w:r>
      <w:r>
        <w:rPr>
          <w:rFonts w:hAnsi="宋体"/>
        </w:rPr>
        <w:t>倍；层积温度为</w:t>
      </w:r>
      <w:r>
        <w:rPr>
          <w:rFonts w:ascii="Times New Roman"/>
        </w:rPr>
        <w:t>2</w:t>
      </w:r>
      <w:r>
        <w:rPr>
          <w:rFonts w:hint="eastAsia" w:ascii="Times New Roman"/>
        </w:rPr>
        <w:t xml:space="preserve"> </w:t>
      </w:r>
      <w:r>
        <w:rPr>
          <w:rFonts w:ascii="Times New Roman"/>
        </w:rPr>
        <w:t>℃</w:t>
      </w:r>
      <w:r>
        <w:rPr>
          <w:rFonts w:hint="eastAsia" w:ascii="Times New Roman"/>
        </w:rPr>
        <w:t>～</w:t>
      </w:r>
      <w:r>
        <w:rPr>
          <w:rFonts w:ascii="Times New Roman"/>
        </w:rPr>
        <w:t>7</w:t>
      </w:r>
      <w:r>
        <w:rPr>
          <w:rFonts w:hint="eastAsia" w:ascii="Times New Roman"/>
        </w:rPr>
        <w:t xml:space="preserve"> </w:t>
      </w:r>
      <w:r>
        <w:rPr>
          <w:rFonts w:ascii="Times New Roman"/>
        </w:rPr>
        <w:t>℃</w:t>
      </w:r>
      <w:r>
        <w:rPr>
          <w:rFonts w:hAnsi="宋体"/>
        </w:rPr>
        <w:t>；层积时间为</w:t>
      </w:r>
      <w:r>
        <w:rPr>
          <w:rFonts w:ascii="Times New Roman"/>
        </w:rPr>
        <w:t>80</w:t>
      </w:r>
      <w:r>
        <w:rPr>
          <w:rFonts w:hint="eastAsia" w:ascii="Times New Roman"/>
        </w:rPr>
        <w:t xml:space="preserve"> </w:t>
      </w:r>
      <w:r>
        <w:rPr>
          <w:rFonts w:ascii="Times New Roman"/>
        </w:rPr>
        <w:t>d</w:t>
      </w:r>
      <w:r>
        <w:rPr>
          <w:rFonts w:hint="eastAsia" w:ascii="Times New Roman"/>
        </w:rPr>
        <w:t>～</w:t>
      </w:r>
      <w:r>
        <w:rPr>
          <w:rFonts w:ascii="Times New Roman"/>
        </w:rPr>
        <w:t>120</w:t>
      </w:r>
      <w:r>
        <w:rPr>
          <w:rFonts w:hint="eastAsia" w:ascii="Times New Roman"/>
        </w:rPr>
        <w:t xml:space="preserve"> </w:t>
      </w:r>
      <w:r>
        <w:rPr>
          <w:rFonts w:ascii="Times New Roman"/>
        </w:rPr>
        <w:t>d</w:t>
      </w:r>
      <w:r>
        <w:rPr>
          <w:rFonts w:hAnsi="宋体"/>
        </w:rPr>
        <w:t>。秋播的种子不需沙藏层积，应在播种前浸泡</w:t>
      </w:r>
      <w:r>
        <w:rPr>
          <w:rFonts w:ascii="Times New Roman"/>
        </w:rPr>
        <w:t>3</w:t>
      </w:r>
      <w:r>
        <w:rPr>
          <w:rFonts w:hint="eastAsia" w:ascii="Times New Roman"/>
        </w:rPr>
        <w:t xml:space="preserve"> </w:t>
      </w:r>
      <w:r>
        <w:rPr>
          <w:rFonts w:ascii="Times New Roman"/>
        </w:rPr>
        <w:t>d</w:t>
      </w:r>
      <w:r>
        <w:rPr>
          <w:rFonts w:hint="eastAsia" w:ascii="Times New Roman"/>
        </w:rPr>
        <w:t>～</w:t>
      </w:r>
      <w:r>
        <w:rPr>
          <w:rFonts w:ascii="Times New Roman"/>
        </w:rPr>
        <w:t>4</w:t>
      </w:r>
      <w:r>
        <w:rPr>
          <w:rFonts w:hint="eastAsia" w:ascii="Times New Roman"/>
        </w:rPr>
        <w:t xml:space="preserve"> </w:t>
      </w:r>
      <w:r>
        <w:rPr>
          <w:rFonts w:ascii="Times New Roman"/>
        </w:rPr>
        <w:t>d</w:t>
      </w:r>
      <w:r>
        <w:rPr>
          <w:rFonts w:hAnsi="宋体"/>
        </w:rPr>
        <w:t>。</w:t>
      </w:r>
    </w:p>
    <w:p>
      <w:pPr>
        <w:pStyle w:val="97"/>
        <w:spacing w:before="156" w:after="156"/>
      </w:pPr>
      <w:r>
        <w:t>播种</w:t>
      </w:r>
    </w:p>
    <w:p>
      <w:pPr>
        <w:pStyle w:val="170"/>
        <w:rPr>
          <w:rFonts w:ascii="Times New Roman"/>
        </w:rPr>
      </w:pPr>
      <w:r>
        <w:t>播种时间：分春播和秋播。春季播种在土壤解冻后进行，秋播在土壤结冻前进行。</w:t>
      </w:r>
    </w:p>
    <w:p>
      <w:pPr>
        <w:pStyle w:val="170"/>
        <w:rPr>
          <w:rFonts w:ascii="Times New Roman"/>
        </w:rPr>
      </w:pPr>
      <w:r>
        <w:t>播种量：</w:t>
      </w:r>
      <w:r>
        <w:rPr>
          <w:rFonts w:ascii="Times New Roman"/>
        </w:rPr>
        <w:t>25</w:t>
      </w:r>
      <w:r>
        <w:rPr>
          <w:rFonts w:hint="eastAsia" w:ascii="Times New Roman"/>
        </w:rPr>
        <w:t xml:space="preserve"> </w:t>
      </w:r>
      <w:r>
        <w:rPr>
          <w:rFonts w:ascii="Times New Roman"/>
        </w:rPr>
        <w:t>kg/667</w:t>
      </w:r>
      <w:r>
        <w:rPr>
          <w:rFonts w:hint="eastAsia" w:ascii="Times New Roman"/>
        </w:rPr>
        <w:t xml:space="preserve"> </w:t>
      </w:r>
      <w:r>
        <w:rPr>
          <w:rFonts w:ascii="Times New Roman"/>
        </w:rPr>
        <w:t>m</w:t>
      </w:r>
      <w:r>
        <w:rPr>
          <w:rFonts w:ascii="Times New Roman"/>
          <w:vertAlign w:val="superscript"/>
        </w:rPr>
        <w:t>2</w:t>
      </w:r>
      <w:r>
        <w:rPr>
          <w:rFonts w:hint="eastAsia" w:ascii="Times New Roman"/>
        </w:rPr>
        <w:t>～</w:t>
      </w:r>
      <w:r>
        <w:rPr>
          <w:rFonts w:ascii="Times New Roman"/>
        </w:rPr>
        <w:t>35</w:t>
      </w:r>
      <w:r>
        <w:rPr>
          <w:rFonts w:hint="eastAsia" w:ascii="Times New Roman"/>
        </w:rPr>
        <w:t xml:space="preserve"> </w:t>
      </w:r>
      <w:r>
        <w:rPr>
          <w:rFonts w:ascii="Times New Roman"/>
        </w:rPr>
        <w:t>kg/667</w:t>
      </w:r>
      <w:r>
        <w:rPr>
          <w:rFonts w:hint="eastAsia" w:ascii="Times New Roman"/>
        </w:rPr>
        <w:t xml:space="preserve"> </w:t>
      </w:r>
      <w:r>
        <w:rPr>
          <w:rFonts w:ascii="Times New Roman"/>
        </w:rPr>
        <w:t>m</w:t>
      </w:r>
      <w:r>
        <w:rPr>
          <w:rFonts w:ascii="Times New Roman"/>
          <w:vertAlign w:val="superscript"/>
        </w:rPr>
        <w:t>2</w:t>
      </w:r>
      <w:r>
        <w:t>。</w:t>
      </w:r>
    </w:p>
    <w:p>
      <w:pPr>
        <w:pStyle w:val="170"/>
        <w:rPr>
          <w:rFonts w:ascii="Times New Roman"/>
        </w:rPr>
      </w:pPr>
      <w:r>
        <w:t>播种方法：在畦内沿行向开沟，深度</w:t>
      </w:r>
      <w:r>
        <w:rPr>
          <w:rFonts w:ascii="Times New Roman"/>
        </w:rPr>
        <w:t>3</w:t>
      </w:r>
      <w:r>
        <w:rPr>
          <w:rFonts w:hint="eastAsia" w:ascii="Times New Roman"/>
        </w:rPr>
        <w:t xml:space="preserve"> </w:t>
      </w:r>
      <w:r>
        <w:rPr>
          <w:rFonts w:ascii="Times New Roman"/>
        </w:rPr>
        <w:t>cm</w:t>
      </w:r>
      <w:r>
        <w:rPr>
          <w:rFonts w:hint="eastAsia" w:ascii="Times New Roman"/>
        </w:rPr>
        <w:t>～</w:t>
      </w:r>
      <w:r>
        <w:rPr>
          <w:rFonts w:ascii="Times New Roman"/>
        </w:rPr>
        <w:t>5</w:t>
      </w:r>
      <w:r>
        <w:rPr>
          <w:rFonts w:hint="eastAsia" w:ascii="Times New Roman"/>
        </w:rPr>
        <w:t xml:space="preserve"> </w:t>
      </w:r>
      <w:r>
        <w:rPr>
          <w:rFonts w:ascii="Times New Roman"/>
        </w:rPr>
        <w:t>cm</w:t>
      </w:r>
      <w:r>
        <w:t>；撒入种子，间距</w:t>
      </w:r>
      <w:r>
        <w:rPr>
          <w:rFonts w:ascii="Times New Roman"/>
        </w:rPr>
        <w:t>5</w:t>
      </w:r>
      <w:r>
        <w:rPr>
          <w:rFonts w:hint="eastAsia" w:ascii="Times New Roman"/>
        </w:rPr>
        <w:t xml:space="preserve"> </w:t>
      </w:r>
      <w:r>
        <w:rPr>
          <w:rFonts w:ascii="Times New Roman"/>
        </w:rPr>
        <w:t>cm</w:t>
      </w:r>
      <w:r>
        <w:rPr>
          <w:rFonts w:hint="eastAsia" w:ascii="Times New Roman"/>
        </w:rPr>
        <w:t>～</w:t>
      </w:r>
      <w:r>
        <w:rPr>
          <w:rFonts w:ascii="Times New Roman"/>
        </w:rPr>
        <w:t>7</w:t>
      </w:r>
      <w:r>
        <w:rPr>
          <w:rFonts w:hint="eastAsia" w:ascii="Times New Roman"/>
        </w:rPr>
        <w:t xml:space="preserve"> </w:t>
      </w:r>
      <w:r>
        <w:rPr>
          <w:rFonts w:ascii="Times New Roman"/>
        </w:rPr>
        <w:t>cm</w:t>
      </w:r>
      <w:r>
        <w:t>；播种后覆土。每畦播种</w:t>
      </w:r>
      <w:r>
        <w:rPr>
          <w:rFonts w:ascii="Times New Roman"/>
        </w:rPr>
        <w:t>3</w:t>
      </w:r>
      <w:r>
        <w:t>行</w:t>
      </w:r>
      <w:r>
        <w:rPr>
          <w:rFonts w:hint="eastAsia" w:ascii="Times New Roman"/>
        </w:rPr>
        <w:t>～</w:t>
      </w:r>
      <w:r>
        <w:rPr>
          <w:rFonts w:ascii="Times New Roman"/>
        </w:rPr>
        <w:t>4</w:t>
      </w:r>
      <w:r>
        <w:t>行，行距</w:t>
      </w:r>
      <w:r>
        <w:rPr>
          <w:rFonts w:ascii="Times New Roman"/>
        </w:rPr>
        <w:t>30</w:t>
      </w:r>
      <w:r>
        <w:rPr>
          <w:rFonts w:hint="eastAsia" w:ascii="Times New Roman"/>
        </w:rPr>
        <w:t xml:space="preserve"> </w:t>
      </w:r>
      <w:r>
        <w:rPr>
          <w:rFonts w:ascii="Times New Roman"/>
        </w:rPr>
        <w:t>cm</w:t>
      </w:r>
      <w:r>
        <w:rPr>
          <w:rFonts w:hint="eastAsia" w:ascii="Times New Roman"/>
        </w:rPr>
        <w:t>～</w:t>
      </w:r>
      <w:r>
        <w:rPr>
          <w:rFonts w:ascii="Times New Roman"/>
        </w:rPr>
        <w:t>40</w:t>
      </w:r>
      <w:r>
        <w:rPr>
          <w:rFonts w:hint="eastAsia" w:ascii="Times New Roman"/>
        </w:rPr>
        <w:t xml:space="preserve"> </w:t>
      </w:r>
      <w:r>
        <w:rPr>
          <w:rFonts w:ascii="Times New Roman"/>
        </w:rPr>
        <w:t>cm</w:t>
      </w:r>
      <w:r>
        <w:t>。</w:t>
      </w:r>
    </w:p>
    <w:p>
      <w:pPr>
        <w:pStyle w:val="97"/>
        <w:spacing w:before="156" w:after="156"/>
      </w:pPr>
      <w:r>
        <w:t>砧木苗的管理</w:t>
      </w:r>
    </w:p>
    <w:p>
      <w:pPr>
        <w:pStyle w:val="59"/>
        <w:ind w:firstLine="420"/>
        <w:rPr>
          <w:rFonts w:ascii="Times New Roman"/>
        </w:rPr>
      </w:pPr>
      <w:r>
        <w:rPr>
          <w:rFonts w:hAnsi="宋体"/>
        </w:rPr>
        <w:t>幼苗出土后及时松土、除草；结合灌水追肥</w:t>
      </w:r>
      <w:r>
        <w:rPr>
          <w:rFonts w:ascii="Times New Roman"/>
        </w:rPr>
        <w:t>1</w:t>
      </w:r>
      <w:r>
        <w:rPr>
          <w:rFonts w:hAnsi="宋体"/>
        </w:rPr>
        <w:t>次</w:t>
      </w:r>
      <w:r>
        <w:rPr>
          <w:rFonts w:hint="eastAsia" w:ascii="Times New Roman"/>
        </w:rPr>
        <w:t>～</w:t>
      </w:r>
      <w:r>
        <w:rPr>
          <w:rFonts w:ascii="Times New Roman"/>
        </w:rPr>
        <w:t>2</w:t>
      </w:r>
      <w:r>
        <w:rPr>
          <w:rFonts w:hAnsi="宋体"/>
        </w:rPr>
        <w:t>次，每次施入氮肥</w:t>
      </w:r>
      <w:r>
        <w:rPr>
          <w:rFonts w:ascii="Times New Roman"/>
        </w:rPr>
        <w:t>6</w:t>
      </w:r>
      <w:r>
        <w:rPr>
          <w:rFonts w:hint="eastAsia" w:ascii="Times New Roman"/>
        </w:rPr>
        <w:t xml:space="preserve"> </w:t>
      </w:r>
      <w:r>
        <w:rPr>
          <w:rFonts w:ascii="Times New Roman"/>
        </w:rPr>
        <w:t>kg</w:t>
      </w:r>
      <w:r>
        <w:rPr>
          <w:rFonts w:hint="eastAsia" w:ascii="Times New Roman"/>
        </w:rPr>
        <w:t>～</w:t>
      </w:r>
      <w:r>
        <w:rPr>
          <w:rFonts w:ascii="Times New Roman"/>
        </w:rPr>
        <w:t>9 kg/667</w:t>
      </w:r>
      <w:r>
        <w:rPr>
          <w:rFonts w:hint="eastAsia" w:ascii="Times New Roman"/>
        </w:rPr>
        <w:t xml:space="preserve"> </w:t>
      </w:r>
      <w:r>
        <w:rPr>
          <w:rFonts w:ascii="Times New Roman"/>
        </w:rPr>
        <w:t>m</w:t>
      </w:r>
      <w:r>
        <w:rPr>
          <w:rFonts w:ascii="Times New Roman"/>
          <w:vertAlign w:val="superscript"/>
        </w:rPr>
        <w:t>2</w:t>
      </w:r>
      <w:r>
        <w:rPr>
          <w:rFonts w:hint="eastAsia" w:ascii="Times New Roman"/>
        </w:rPr>
        <w:t>；</w:t>
      </w:r>
      <w:r>
        <w:rPr>
          <w:rFonts w:hAnsi="宋体"/>
        </w:rPr>
        <w:t>幼苗出土前不宜灌水，生长季视土壤墒情灌水；防治苗期立枯病及其它病虫害，用药需符合</w:t>
      </w:r>
      <w:r>
        <w:rPr>
          <w:rFonts w:hint="eastAsia" w:ascii="Times New Roman"/>
        </w:rPr>
        <w:t>N</w:t>
      </w:r>
      <w:r>
        <w:rPr>
          <w:rFonts w:ascii="Times New Roman"/>
        </w:rPr>
        <w:t>Y/T 393</w:t>
      </w:r>
      <w:r>
        <w:rPr>
          <w:rFonts w:hint="eastAsia" w:ascii="Times New Roman"/>
        </w:rPr>
        <w:t>—</w:t>
      </w:r>
      <w:r>
        <w:rPr>
          <w:rFonts w:ascii="Times New Roman"/>
        </w:rPr>
        <w:t>2020</w:t>
      </w:r>
      <w:r>
        <w:rPr>
          <w:rFonts w:hint="eastAsia" w:hAnsi="宋体"/>
        </w:rPr>
        <w:t>之要求</w:t>
      </w:r>
      <w:r>
        <w:rPr>
          <w:rFonts w:hAnsi="宋体"/>
        </w:rPr>
        <w:t>。</w:t>
      </w:r>
    </w:p>
    <w:p>
      <w:pPr>
        <w:pStyle w:val="68"/>
        <w:spacing w:before="156" w:after="156"/>
      </w:pPr>
      <w:r>
        <w:t>嫁接苗培育</w:t>
      </w:r>
    </w:p>
    <w:p>
      <w:pPr>
        <w:pStyle w:val="97"/>
        <w:spacing w:before="156" w:after="156"/>
      </w:pPr>
      <w:r>
        <w:t>接穗的选择、采集、贮藏与运输</w:t>
      </w:r>
    </w:p>
    <w:p>
      <w:pPr>
        <w:pStyle w:val="101"/>
        <w:spacing w:before="156" w:after="156"/>
      </w:pPr>
      <w:r>
        <w:t>接穗的选择</w:t>
      </w:r>
    </w:p>
    <w:p>
      <w:pPr>
        <w:pStyle w:val="59"/>
        <w:ind w:firstLine="420"/>
        <w:rPr>
          <w:rFonts w:ascii="Times New Roman"/>
        </w:rPr>
      </w:pPr>
      <w:r>
        <w:rPr>
          <w:rFonts w:hAnsi="宋体"/>
        </w:rPr>
        <w:t>早春枝接应选用生长充实的一年生枝中段做接穗；</w:t>
      </w:r>
      <w:r>
        <w:rPr>
          <w:rFonts w:ascii="Times New Roman"/>
        </w:rPr>
        <w:t>7</w:t>
      </w:r>
      <w:r>
        <w:rPr>
          <w:rFonts w:hAnsi="宋体"/>
        </w:rPr>
        <w:t>月</w:t>
      </w:r>
      <w:r>
        <w:rPr>
          <w:rFonts w:hint="eastAsia" w:ascii="Times New Roman"/>
        </w:rPr>
        <w:t>～</w:t>
      </w:r>
      <w:r>
        <w:rPr>
          <w:rFonts w:ascii="Times New Roman"/>
        </w:rPr>
        <w:t>8</w:t>
      </w:r>
      <w:r>
        <w:rPr>
          <w:rFonts w:hAnsi="宋体"/>
        </w:rPr>
        <w:t>月份芽接应选当年生新梢，采下后立即摘除叶片，留下部分叶柄。</w:t>
      </w:r>
    </w:p>
    <w:p>
      <w:pPr>
        <w:pStyle w:val="101"/>
        <w:spacing w:before="156" w:after="156"/>
      </w:pPr>
      <w:r>
        <w:t>接穗的采集</w:t>
      </w:r>
    </w:p>
    <w:p>
      <w:pPr>
        <w:pStyle w:val="59"/>
        <w:ind w:firstLine="420"/>
        <w:rPr>
          <w:rFonts w:ascii="Times New Roman"/>
        </w:rPr>
      </w:pPr>
      <w:r>
        <w:rPr>
          <w:rFonts w:hAnsi="宋体"/>
        </w:rPr>
        <w:t>采接穗时品种之间不可混杂。芽接接穗的采集时间一般在夏末、秋初，枝接接穗可结合冬季修剪在冬季至萌芽前采集。</w:t>
      </w:r>
    </w:p>
    <w:p>
      <w:pPr>
        <w:pStyle w:val="101"/>
        <w:spacing w:before="156" w:after="156"/>
      </w:pPr>
      <w:r>
        <w:t>接穗的贮藏与运输</w:t>
      </w:r>
    </w:p>
    <w:p>
      <w:pPr>
        <w:pStyle w:val="59"/>
        <w:ind w:firstLine="420"/>
        <w:rPr>
          <w:rFonts w:ascii="Times New Roman"/>
        </w:rPr>
      </w:pPr>
      <w:r>
        <w:rPr>
          <w:rFonts w:hAnsi="宋体"/>
        </w:rPr>
        <w:t>芽接宜就近采集接穗，随采随接；若采集的接穗当天用不完，应将接穗下端浸泡在清水中，放置在冷凉处；若需长途运输，接穗应保湿。枝接的接穗截成</w:t>
      </w:r>
      <w:r>
        <w:rPr>
          <w:rFonts w:ascii="Times New Roman"/>
        </w:rPr>
        <w:t>9</w:t>
      </w:r>
      <w:r>
        <w:rPr>
          <w:rFonts w:hint="eastAsia" w:ascii="Times New Roman"/>
        </w:rPr>
        <w:t xml:space="preserve"> </w:t>
      </w:r>
      <w:r>
        <w:rPr>
          <w:rFonts w:ascii="Times New Roman"/>
        </w:rPr>
        <w:t>cm</w:t>
      </w:r>
      <w:r>
        <w:rPr>
          <w:rFonts w:hint="eastAsia" w:ascii="Times New Roman"/>
        </w:rPr>
        <w:t>～</w:t>
      </w:r>
      <w:r>
        <w:rPr>
          <w:rFonts w:ascii="Times New Roman"/>
        </w:rPr>
        <w:t>12</w:t>
      </w:r>
      <w:r>
        <w:rPr>
          <w:rFonts w:hint="eastAsia" w:ascii="Times New Roman"/>
        </w:rPr>
        <w:t xml:space="preserve"> </w:t>
      </w:r>
      <w:r>
        <w:rPr>
          <w:rFonts w:ascii="Times New Roman"/>
        </w:rPr>
        <w:t>cm</w:t>
      </w:r>
      <w:r>
        <w:rPr>
          <w:rFonts w:hAnsi="宋体"/>
        </w:rPr>
        <w:t>的枝段，在水浴熔化的石蜡中蜡封接穗，冷凉后放置在地窖或冷库中备用，贮藏温度</w:t>
      </w:r>
      <w:r>
        <w:rPr>
          <w:rFonts w:ascii="Times New Roman"/>
        </w:rPr>
        <w:t>0</w:t>
      </w:r>
      <w:r>
        <w:rPr>
          <w:rFonts w:hint="eastAsia" w:ascii="Times New Roman"/>
        </w:rPr>
        <w:t xml:space="preserve"> </w:t>
      </w:r>
      <w:r>
        <w:rPr>
          <w:rFonts w:ascii="Times New Roman"/>
        </w:rPr>
        <w:t>℃</w:t>
      </w:r>
      <w:r>
        <w:rPr>
          <w:rFonts w:hint="eastAsia" w:ascii="Times New Roman"/>
        </w:rPr>
        <w:t>～</w:t>
      </w:r>
      <w:r>
        <w:rPr>
          <w:rFonts w:ascii="Times New Roman"/>
        </w:rPr>
        <w:t>5</w:t>
      </w:r>
      <w:r>
        <w:rPr>
          <w:rFonts w:hint="eastAsia" w:ascii="Times New Roman"/>
        </w:rPr>
        <w:t xml:space="preserve"> </w:t>
      </w:r>
      <w:r>
        <w:rPr>
          <w:rFonts w:ascii="Times New Roman"/>
        </w:rPr>
        <w:t>℃</w:t>
      </w:r>
      <w:r>
        <w:rPr>
          <w:rFonts w:hAnsi="宋体"/>
        </w:rPr>
        <w:t>。</w:t>
      </w:r>
    </w:p>
    <w:p>
      <w:pPr>
        <w:pStyle w:val="97"/>
        <w:spacing w:before="156" w:after="156"/>
      </w:pPr>
      <w:r>
        <w:t>嫁接方法</w:t>
      </w:r>
    </w:p>
    <w:p>
      <w:pPr>
        <w:pStyle w:val="170"/>
        <w:rPr>
          <w:rFonts w:ascii="Times New Roman"/>
        </w:rPr>
      </w:pPr>
      <w:r>
        <w:t>芽接</w:t>
      </w:r>
      <w:r>
        <w:rPr>
          <w:rFonts w:hint="eastAsia" w:ascii="Times New Roman"/>
        </w:rPr>
        <w:t>。</w:t>
      </w:r>
      <w:r>
        <w:t>当砧木苗离地面</w:t>
      </w:r>
      <w:r>
        <w:rPr>
          <w:rFonts w:ascii="Times New Roman"/>
        </w:rPr>
        <w:t>5</w:t>
      </w:r>
      <w:r>
        <w:rPr>
          <w:rFonts w:hint="eastAsia" w:ascii="Times New Roman"/>
        </w:rPr>
        <w:t xml:space="preserve"> </w:t>
      </w:r>
      <w:r>
        <w:rPr>
          <w:rFonts w:ascii="Times New Roman"/>
        </w:rPr>
        <w:t>cm</w:t>
      </w:r>
      <w:r>
        <w:rPr>
          <w:rFonts w:hint="eastAsia" w:ascii="Times New Roman"/>
        </w:rPr>
        <w:t>～</w:t>
      </w:r>
      <w:r>
        <w:rPr>
          <w:rFonts w:ascii="Times New Roman"/>
        </w:rPr>
        <w:t>10</w:t>
      </w:r>
      <w:r>
        <w:rPr>
          <w:rFonts w:hint="eastAsia" w:ascii="Times New Roman"/>
        </w:rPr>
        <w:t xml:space="preserve"> </w:t>
      </w:r>
      <w:r>
        <w:rPr>
          <w:rFonts w:ascii="Times New Roman"/>
        </w:rPr>
        <w:t>cm</w:t>
      </w:r>
      <w:r>
        <w:t>处直径达到</w:t>
      </w:r>
      <w:r>
        <w:rPr>
          <w:rFonts w:ascii="Times New Roman"/>
        </w:rPr>
        <w:t>0.5</w:t>
      </w:r>
      <w:r>
        <w:rPr>
          <w:rFonts w:hint="eastAsia" w:ascii="Times New Roman"/>
        </w:rPr>
        <w:t xml:space="preserve"> </w:t>
      </w:r>
      <w:r>
        <w:rPr>
          <w:rFonts w:ascii="Times New Roman"/>
        </w:rPr>
        <w:t>cm</w:t>
      </w:r>
      <w:r>
        <w:rPr>
          <w:rFonts w:hint="eastAsia" w:ascii="Times New Roman"/>
        </w:rPr>
        <w:t>～</w:t>
      </w:r>
      <w:r>
        <w:rPr>
          <w:rFonts w:ascii="Times New Roman"/>
        </w:rPr>
        <w:t>0.6</w:t>
      </w:r>
      <w:r>
        <w:rPr>
          <w:rFonts w:hint="eastAsia" w:ascii="Times New Roman"/>
        </w:rPr>
        <w:t xml:space="preserve"> </w:t>
      </w:r>
      <w:r>
        <w:rPr>
          <w:rFonts w:ascii="Times New Roman"/>
        </w:rPr>
        <w:t>cm</w:t>
      </w:r>
      <w:r>
        <w:t>时，就可施行芽接。采用丁字形芽接或带木质芽接法。</w:t>
      </w:r>
    </w:p>
    <w:p>
      <w:pPr>
        <w:pStyle w:val="170"/>
        <w:rPr>
          <w:rFonts w:ascii="Times New Roman"/>
        </w:rPr>
      </w:pPr>
      <w:r>
        <w:t>枝接</w:t>
      </w:r>
      <w:r>
        <w:rPr>
          <w:rFonts w:hint="eastAsia" w:ascii="Times New Roman"/>
        </w:rPr>
        <w:t>。</w:t>
      </w:r>
      <w:r>
        <w:t>枝接在春天砧木苗萌动、未发芽前进行。常用方法有劈接、切接和腹接等。</w:t>
      </w:r>
    </w:p>
    <w:p>
      <w:pPr>
        <w:pStyle w:val="68"/>
        <w:spacing w:before="156" w:after="156"/>
      </w:pPr>
      <w:r>
        <w:t xml:space="preserve">苗木出圃 </w:t>
      </w:r>
    </w:p>
    <w:p>
      <w:pPr>
        <w:pStyle w:val="97"/>
        <w:spacing w:before="156" w:after="156"/>
      </w:pPr>
      <w:r>
        <w:t>出圃时间</w:t>
      </w:r>
    </w:p>
    <w:p>
      <w:pPr>
        <w:pStyle w:val="59"/>
        <w:ind w:firstLine="420"/>
        <w:rPr>
          <w:rFonts w:ascii="Times New Roman"/>
        </w:rPr>
      </w:pPr>
      <w:r>
        <w:rPr>
          <w:rFonts w:hAnsi="宋体"/>
        </w:rPr>
        <w:t>可在春季或秋季。春季起苗在解冻后、萌芽前，起苗后立即栽植；秋季起苗在落叶后至土壤封冻前，若起苗后定植应做卧土防寒，不定植应进行越冬假植。</w:t>
      </w:r>
    </w:p>
    <w:p>
      <w:pPr>
        <w:pStyle w:val="97"/>
        <w:spacing w:before="156" w:after="156"/>
      </w:pPr>
      <w:r>
        <w:t>起苗</w:t>
      </w:r>
    </w:p>
    <w:p>
      <w:pPr>
        <w:pStyle w:val="59"/>
        <w:ind w:firstLine="420"/>
        <w:rPr>
          <w:rFonts w:ascii="Times New Roman"/>
        </w:rPr>
      </w:pPr>
      <w:r>
        <w:rPr>
          <w:rFonts w:hAnsi="宋体"/>
        </w:rPr>
        <w:t>起苗前灌水，保证苗木根系完好；用起苗犁或人工起苗；起苗深</w:t>
      </w:r>
      <w:r>
        <w:rPr>
          <w:rFonts w:ascii="Times New Roman"/>
        </w:rPr>
        <w:t>30</w:t>
      </w:r>
      <w:r>
        <w:rPr>
          <w:rFonts w:hint="eastAsia" w:ascii="Times New Roman"/>
        </w:rPr>
        <w:t xml:space="preserve"> </w:t>
      </w:r>
      <w:r>
        <w:rPr>
          <w:rFonts w:ascii="Times New Roman"/>
        </w:rPr>
        <w:t>cm</w:t>
      </w:r>
      <w:r>
        <w:rPr>
          <w:rFonts w:hAnsi="宋体"/>
        </w:rPr>
        <w:t>以上，少伤根和苗干；起出的苗木按质量要求分级，剔除不合格苗木；分选出的苗木随时用土将苗根埋严。</w:t>
      </w:r>
    </w:p>
    <w:p>
      <w:pPr>
        <w:pStyle w:val="97"/>
        <w:spacing w:before="156" w:after="156"/>
      </w:pPr>
      <w:r>
        <w:t>苗木假植</w:t>
      </w:r>
    </w:p>
    <w:p>
      <w:pPr>
        <w:pStyle w:val="101"/>
        <w:spacing w:before="156" w:after="156"/>
      </w:pPr>
      <w:r>
        <w:t>临时假植</w:t>
      </w:r>
    </w:p>
    <w:p>
      <w:pPr>
        <w:pStyle w:val="59"/>
        <w:ind w:firstLine="420"/>
        <w:rPr>
          <w:rFonts w:ascii="Times New Roman"/>
        </w:rPr>
      </w:pPr>
      <w:r>
        <w:rPr>
          <w:rFonts w:hAnsi="宋体"/>
        </w:rPr>
        <w:t>选择背阴处挖假植沟，将苗木根部埋入湿沙中。</w:t>
      </w:r>
    </w:p>
    <w:p>
      <w:pPr>
        <w:pStyle w:val="101"/>
        <w:spacing w:before="156" w:after="156"/>
      </w:pPr>
      <w:r>
        <w:t>越冬假植</w:t>
      </w:r>
    </w:p>
    <w:p>
      <w:pPr>
        <w:pStyle w:val="59"/>
        <w:ind w:firstLine="420"/>
        <w:rPr>
          <w:rFonts w:ascii="Times New Roman"/>
        </w:rPr>
      </w:pPr>
      <w:r>
        <w:rPr>
          <w:rFonts w:hAnsi="宋体"/>
        </w:rPr>
        <w:t>选择避风、地势平坦、排水良好的地方挖假植沟，将苗木全部埋入湿沙中；随着气温下降，培土</w:t>
      </w:r>
      <w:r>
        <w:rPr>
          <w:rFonts w:ascii="Times New Roman"/>
        </w:rPr>
        <w:t>2</w:t>
      </w:r>
      <w:r>
        <w:rPr>
          <w:rFonts w:hAnsi="宋体"/>
        </w:rPr>
        <w:t>次</w:t>
      </w:r>
      <w:r>
        <w:rPr>
          <w:rFonts w:hint="eastAsia" w:ascii="Times New Roman"/>
        </w:rPr>
        <w:t>～</w:t>
      </w:r>
      <w:r>
        <w:rPr>
          <w:rFonts w:ascii="Times New Roman"/>
        </w:rPr>
        <w:t>3</w:t>
      </w:r>
      <w:r>
        <w:rPr>
          <w:rFonts w:hAnsi="宋体"/>
        </w:rPr>
        <w:t>次；若土壤干燥可适量浇水，以不造成沟内积水为度。</w:t>
      </w:r>
    </w:p>
    <w:p>
      <w:pPr>
        <w:pStyle w:val="97"/>
        <w:spacing w:before="156" w:after="156"/>
      </w:pPr>
      <w:r>
        <w:t>苗木分级和检测</w:t>
      </w:r>
    </w:p>
    <w:p>
      <w:pPr>
        <w:pStyle w:val="101"/>
        <w:spacing w:before="156" w:after="156"/>
      </w:pPr>
      <w:r>
        <w:t xml:space="preserve">苗木分级 </w:t>
      </w:r>
    </w:p>
    <w:p>
      <w:pPr>
        <w:pStyle w:val="59"/>
        <w:ind w:firstLine="420"/>
      </w:pPr>
      <w:r>
        <w:rPr>
          <w:rFonts w:hint="eastAsia"/>
        </w:rPr>
        <w:t>苗木的质量分级见表1。</w:t>
      </w:r>
    </w:p>
    <w:p>
      <w:pPr>
        <w:pStyle w:val="115"/>
        <w:spacing w:before="156" w:after="156"/>
        <w:rPr>
          <w:rFonts w:ascii="Times New Roman"/>
        </w:rPr>
      </w:pPr>
      <w:r>
        <w:t>杏树嫁接苗质量分级</w:t>
      </w:r>
    </w:p>
    <w:tbl>
      <w:tblPr>
        <w:tblStyle w:val="252"/>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88"/>
        <w:gridCol w:w="3191"/>
        <w:gridCol w:w="3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tcBorders>
              <w:top w:val="single" w:color="auto" w:sz="8" w:space="0"/>
              <w:bottom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项目</w:t>
            </w:r>
          </w:p>
        </w:tc>
        <w:tc>
          <w:tcPr>
            <w:tcW w:w="1667" w:type="pct"/>
            <w:tcBorders>
              <w:top w:val="single" w:color="auto" w:sz="8" w:space="0"/>
              <w:bottom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1级</w:t>
            </w:r>
          </w:p>
        </w:tc>
        <w:tc>
          <w:tcPr>
            <w:tcW w:w="1667" w:type="pct"/>
            <w:tcBorders>
              <w:top w:val="single" w:color="auto" w:sz="8" w:space="0"/>
              <w:bottom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2级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tcBorders>
              <w:top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品种纯度</w:t>
            </w:r>
          </w:p>
        </w:tc>
        <w:tc>
          <w:tcPr>
            <w:tcW w:w="1667" w:type="pct"/>
            <w:tcBorders>
              <w:top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品种纯正</w:t>
            </w:r>
          </w:p>
        </w:tc>
        <w:tc>
          <w:tcPr>
            <w:tcW w:w="1667" w:type="pct"/>
            <w:tcBorders>
              <w:top w:val="single" w:color="auto" w:sz="8" w:space="0"/>
            </w:tcBorders>
            <w:vAlign w:val="center"/>
          </w:tcPr>
          <w:p>
            <w:pPr>
              <w:spacing w:line="240" w:lineRule="auto"/>
              <w:ind w:firstLine="360" w:firstLineChars="200"/>
              <w:jc w:val="center"/>
              <w:rPr>
                <w:rFonts w:ascii="宋体" w:hAnsi="宋体"/>
                <w:sz w:val="18"/>
                <w:szCs w:val="18"/>
              </w:rPr>
            </w:pPr>
            <w:r>
              <w:rPr>
                <w:rFonts w:ascii="宋体" w:hAnsi="宋体"/>
                <w:sz w:val="18"/>
                <w:szCs w:val="18"/>
              </w:rPr>
              <w:t>品种纯正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苗高(cm)</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≥100</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苗粗(cm)</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≥0.8</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≥0.6</w:t>
            </w:r>
          </w:p>
        </w:tc>
      </w:tr>
    </w:tbl>
    <w:p>
      <w:pPr>
        <w:pStyle w:val="115"/>
        <w:numPr>
          <w:ilvl w:val="0"/>
          <w:numId w:val="32"/>
        </w:numPr>
        <w:spacing w:before="156" w:after="156"/>
        <w:rPr>
          <w:rFonts w:ascii="Times New Roman"/>
        </w:rPr>
      </w:pPr>
      <w:r>
        <w:br w:type="page"/>
      </w:r>
      <w:r>
        <w:t>杏树嫁接苗质量分级</w:t>
      </w:r>
      <w:r>
        <w:rPr>
          <w:rFonts w:hint="eastAsia" w:ascii="宋体" w:hAnsi="宋体" w:eastAsia="宋体"/>
        </w:rPr>
        <w:t>（续）</w:t>
      </w:r>
    </w:p>
    <w:tbl>
      <w:tblPr>
        <w:tblStyle w:val="252"/>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88"/>
        <w:gridCol w:w="3191"/>
        <w:gridCol w:w="319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项目</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1级</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2级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主根长度(cm)</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≥25</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侧根长度(cm)</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≥15</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侧根数目(条)</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≥6</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侧根分布</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均匀</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均匀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嫁接愈合</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愈合完好</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愈合完好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整形带芽</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饱满</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饱满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机械损伤</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无</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苗木生长</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充实</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充实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666" w:type="pct"/>
            <w:vAlign w:val="center"/>
          </w:tcPr>
          <w:p>
            <w:pPr>
              <w:spacing w:line="240" w:lineRule="auto"/>
              <w:ind w:firstLine="360" w:firstLineChars="200"/>
              <w:jc w:val="center"/>
              <w:rPr>
                <w:rFonts w:ascii="宋体" w:hAnsi="宋体"/>
                <w:sz w:val="18"/>
                <w:szCs w:val="18"/>
              </w:rPr>
            </w:pPr>
            <w:r>
              <w:rPr>
                <w:rFonts w:ascii="宋体" w:hAnsi="宋体"/>
                <w:sz w:val="18"/>
                <w:szCs w:val="18"/>
              </w:rPr>
              <w:t>检疫对象</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无</w:t>
            </w:r>
          </w:p>
        </w:tc>
        <w:tc>
          <w:tcPr>
            <w:tcW w:w="1667" w:type="pct"/>
            <w:vAlign w:val="center"/>
          </w:tcPr>
          <w:p>
            <w:pPr>
              <w:spacing w:line="240" w:lineRule="auto"/>
              <w:ind w:firstLine="360" w:firstLineChars="200"/>
              <w:jc w:val="center"/>
              <w:rPr>
                <w:rFonts w:ascii="宋体" w:hAnsi="宋体"/>
                <w:sz w:val="18"/>
                <w:szCs w:val="18"/>
              </w:rPr>
            </w:pPr>
            <w:r>
              <w:rPr>
                <w:rFonts w:ascii="宋体" w:hAnsi="宋体"/>
                <w:sz w:val="18"/>
                <w:szCs w:val="18"/>
              </w:rPr>
              <w:t>无</w:t>
            </w:r>
          </w:p>
        </w:tc>
      </w:tr>
    </w:tbl>
    <w:p>
      <w:pPr>
        <w:pStyle w:val="101"/>
        <w:spacing w:before="156" w:after="156"/>
        <w:rPr>
          <w:szCs w:val="21"/>
        </w:rPr>
      </w:pPr>
      <w:r>
        <w:rPr>
          <w:rFonts w:hAnsi="黑体"/>
        </w:rPr>
        <w:t>苗木检测方法和规则</w:t>
      </w:r>
      <w:r>
        <w:t xml:space="preserve"> </w:t>
      </w:r>
    </w:p>
    <w:p>
      <w:pPr>
        <w:pStyle w:val="59"/>
        <w:ind w:firstLine="420"/>
        <w:rPr>
          <w:rFonts w:hAnsi="宋体"/>
        </w:rPr>
      </w:pPr>
      <w:r>
        <w:rPr>
          <w:rFonts w:hint="eastAsia" w:hAnsi="宋体"/>
        </w:rPr>
        <w:t>苗木检测方法和规则如下：</w:t>
      </w:r>
    </w:p>
    <w:p>
      <w:pPr>
        <w:pStyle w:val="177"/>
      </w:pPr>
      <w:r>
        <w:t>苗木检测方法：苗高用钢卷尺测量地面以上至苗木顶端的高度，苗粗用游标卡尺测量接口以上5cm处直径，读数精确到0.1</w:t>
      </w:r>
      <w:r>
        <w:rPr>
          <w:rFonts w:hint="eastAsia"/>
        </w:rPr>
        <w:t xml:space="preserve"> </w:t>
      </w:r>
      <w:r>
        <w:t>cm；主侧根长度用钢卷尺分别测量自根颈和侧根基部至先端的长度，读数精确到0.5</w:t>
      </w:r>
      <w:r>
        <w:rPr>
          <w:rFonts w:hint="eastAsia"/>
        </w:rPr>
        <w:t xml:space="preserve"> </w:t>
      </w:r>
      <w:r>
        <w:t>cm；侧根数量以符合不同等级苗木侧根和基部2</w:t>
      </w:r>
      <w:r>
        <w:rPr>
          <w:rFonts w:hint="eastAsia"/>
        </w:rPr>
        <w:t xml:space="preserve"> </w:t>
      </w:r>
      <w:r>
        <w:t>cm处直径要求的侧根数量计数；机械损伤以苗木地上或地下部分有1</w:t>
      </w:r>
      <w:r>
        <w:rPr>
          <w:rFonts w:hint="eastAsia"/>
        </w:rPr>
        <w:t xml:space="preserve"> </w:t>
      </w:r>
      <w:r>
        <w:t>cm以上破皮或劈裂者计数</w:t>
      </w:r>
      <w:r>
        <w:rPr>
          <w:rFonts w:hint="eastAsia"/>
        </w:rPr>
        <w:t>；</w:t>
      </w:r>
    </w:p>
    <w:p>
      <w:pPr>
        <w:pStyle w:val="177"/>
      </w:pPr>
      <w:r>
        <w:t>检测规则：苗木检测在背阴避风处或室内进行，防止苗木失水。苗木质量检测用随机抽样法，抽样数量不低于5%。同一批苗木检测允许误差：质量为±5%，数量为±1%，低于该等级的个体不得超过10%，否则总体降级处理；用苗单位认为苗木不符合标准规定由双方共同复检，以复检结果为准。</w:t>
      </w:r>
    </w:p>
    <w:p>
      <w:pPr>
        <w:pStyle w:val="97"/>
        <w:spacing w:before="156" w:after="156"/>
      </w:pPr>
      <w:r>
        <w:t>苗木检疫及包装、运输</w:t>
      </w:r>
    </w:p>
    <w:p>
      <w:pPr>
        <w:pStyle w:val="170"/>
      </w:pPr>
      <w:r>
        <w:t>苗木检疫：苗木异地调运时应经过检疫，检疫合格方可使用。</w:t>
      </w:r>
    </w:p>
    <w:p>
      <w:pPr>
        <w:pStyle w:val="170"/>
      </w:pPr>
      <w:r>
        <w:t>苗木包装：需远运的苗木，根部蘸保水剂或泥浆后用保湿包装，包装挂上标签，注明品种、数量等。</w:t>
      </w:r>
    </w:p>
    <w:p>
      <w:pPr>
        <w:pStyle w:val="170"/>
      </w:pPr>
      <w:r>
        <w:t>苗木运输：长途运输要用苫布(或塑料布)遮盖苗木并洒水保温。</w:t>
      </w:r>
    </w:p>
    <w:p>
      <w:pPr>
        <w:pStyle w:val="108"/>
        <w:spacing w:before="156" w:after="156"/>
        <w:ind w:left="0"/>
      </w:pPr>
      <w:bookmarkStart w:id="50" w:name="_Toc152159486"/>
      <w:bookmarkStart w:id="51" w:name="_Toc152145156"/>
      <w:bookmarkStart w:id="52" w:name="_Toc152076552"/>
      <w:r>
        <w:rPr>
          <w:rFonts w:hAnsi="黑体"/>
        </w:rPr>
        <w:t>建园</w:t>
      </w:r>
      <w:bookmarkEnd w:id="50"/>
      <w:bookmarkEnd w:id="51"/>
      <w:bookmarkEnd w:id="52"/>
    </w:p>
    <w:p>
      <w:pPr>
        <w:pStyle w:val="68"/>
        <w:spacing w:before="156" w:after="156"/>
      </w:pPr>
      <w:r>
        <w:rPr>
          <w:rFonts w:hAnsi="黑体"/>
        </w:rPr>
        <w:t>杏园选址</w:t>
      </w:r>
    </w:p>
    <w:p>
      <w:pPr>
        <w:pStyle w:val="59"/>
        <w:ind w:firstLine="420"/>
      </w:pPr>
      <w:r>
        <w:rPr>
          <w:rFonts w:hAnsi="宋体"/>
        </w:rPr>
        <w:t>土壤质地以微酸性砂壤土为宜，土壤肥沃，地势平坦，坡度在</w:t>
      </w:r>
      <w:r>
        <w:t>20°</w:t>
      </w:r>
      <w:r>
        <w:rPr>
          <w:rFonts w:hAnsi="宋体"/>
        </w:rPr>
        <w:t>以下的山地、丘陵地或梯田均可栽植。</w:t>
      </w:r>
    </w:p>
    <w:p>
      <w:pPr>
        <w:pStyle w:val="68"/>
        <w:spacing w:before="156" w:after="156"/>
      </w:pPr>
      <w:r>
        <w:rPr>
          <w:rFonts w:hAnsi="黑体"/>
        </w:rPr>
        <w:t>品种选择</w:t>
      </w:r>
    </w:p>
    <w:p>
      <w:pPr>
        <w:pStyle w:val="59"/>
        <w:ind w:firstLine="420"/>
      </w:pPr>
      <w:r>
        <w:rPr>
          <w:rFonts w:hAnsi="宋体"/>
        </w:rPr>
        <w:t>选择优质、高产、抗病抗逆性强、外观和内在品质好、适合市场需求的品种，主栽品种以</w:t>
      </w:r>
      <w:r>
        <w:rPr>
          <w:rFonts w:hint="eastAsia"/>
        </w:rPr>
        <w:t>“</w:t>
      </w:r>
      <w:r>
        <w:rPr>
          <w:rFonts w:hAnsi="宋体"/>
        </w:rPr>
        <w:t>关爷脸</w:t>
      </w:r>
      <w:r>
        <w:rPr>
          <w:rFonts w:hint="eastAsia"/>
        </w:rPr>
        <w:t>”</w:t>
      </w:r>
      <w:r>
        <w:rPr>
          <w:rFonts w:hAnsi="宋体"/>
        </w:rPr>
        <w:t>、</w:t>
      </w:r>
      <w:r>
        <w:rPr>
          <w:rFonts w:hint="eastAsia"/>
        </w:rPr>
        <w:t>“</w:t>
      </w:r>
      <w:r>
        <w:rPr>
          <w:rFonts w:hAnsi="宋体"/>
        </w:rPr>
        <w:t>少山红（崂山红杏）</w:t>
      </w:r>
      <w:r>
        <w:rPr>
          <w:rFonts w:hint="eastAsia"/>
        </w:rPr>
        <w:t>”</w:t>
      </w:r>
      <w:r>
        <w:rPr>
          <w:rFonts w:hAnsi="宋体"/>
        </w:rPr>
        <w:t xml:space="preserve">、 </w:t>
      </w:r>
      <w:r>
        <w:rPr>
          <w:rFonts w:hint="eastAsia"/>
        </w:rPr>
        <w:t>“</w:t>
      </w:r>
      <w:r>
        <w:rPr>
          <w:rFonts w:hAnsi="宋体"/>
        </w:rPr>
        <w:t>大麦黄</w:t>
      </w:r>
      <w:r>
        <w:rPr>
          <w:rFonts w:hint="eastAsia"/>
        </w:rPr>
        <w:t>”</w:t>
      </w:r>
      <w:r>
        <w:rPr>
          <w:rFonts w:hAnsi="宋体"/>
        </w:rPr>
        <w:t>、</w:t>
      </w:r>
      <w:r>
        <w:rPr>
          <w:rFonts w:hint="eastAsia"/>
        </w:rPr>
        <w:t>“</w:t>
      </w:r>
      <w:r>
        <w:rPr>
          <w:rFonts w:hAnsi="宋体"/>
        </w:rPr>
        <w:t>扁杏</w:t>
      </w:r>
      <w:r>
        <w:rPr>
          <w:rFonts w:hint="eastAsia"/>
        </w:rPr>
        <w:t>”</w:t>
      </w:r>
      <w:r>
        <w:rPr>
          <w:rFonts w:hAnsi="宋体"/>
        </w:rPr>
        <w:t>、</w:t>
      </w:r>
      <w:r>
        <w:rPr>
          <w:rFonts w:hint="eastAsia"/>
        </w:rPr>
        <w:t>“</w:t>
      </w:r>
      <w:r>
        <w:rPr>
          <w:rFonts w:hAnsi="宋体"/>
        </w:rPr>
        <w:t>佐世</w:t>
      </w:r>
      <w:r>
        <w:rPr>
          <w:rFonts w:hint="eastAsia"/>
        </w:rPr>
        <w:t>”</w:t>
      </w:r>
      <w:r>
        <w:rPr>
          <w:rFonts w:hAnsi="宋体"/>
        </w:rPr>
        <w:t>为主。</w:t>
      </w:r>
    </w:p>
    <w:p>
      <w:pPr>
        <w:pStyle w:val="68"/>
        <w:spacing w:before="156" w:after="156"/>
      </w:pPr>
      <w:r>
        <w:rPr>
          <w:rFonts w:hAnsi="黑体"/>
        </w:rPr>
        <w:t>栽植密度</w:t>
      </w:r>
    </w:p>
    <w:p>
      <w:pPr>
        <w:pStyle w:val="59"/>
        <w:ind w:firstLine="420"/>
      </w:pPr>
      <w:r>
        <w:rPr>
          <w:rFonts w:hAnsi="宋体"/>
        </w:rPr>
        <w:t>平地建园一般可采用</w:t>
      </w:r>
      <w:r>
        <w:t>4 m</w:t>
      </w:r>
      <w:r>
        <w:rPr>
          <w:rFonts w:hint="eastAsia"/>
        </w:rPr>
        <w:t>×</w:t>
      </w:r>
      <w:r>
        <w:t>5 m</w:t>
      </w:r>
      <w:r>
        <w:rPr>
          <w:rFonts w:hAnsi="宋体"/>
        </w:rPr>
        <w:t>、</w:t>
      </w:r>
      <w:r>
        <w:t>4 m</w:t>
      </w:r>
      <w:r>
        <w:rPr>
          <w:rFonts w:hint="eastAsia"/>
        </w:rPr>
        <w:t>×</w:t>
      </w:r>
      <w:r>
        <w:t>6 m</w:t>
      </w:r>
      <w:r>
        <w:rPr>
          <w:rFonts w:hAnsi="宋体"/>
        </w:rPr>
        <w:t>、</w:t>
      </w:r>
      <w:r>
        <w:t>5 m</w:t>
      </w:r>
      <w:r>
        <w:rPr>
          <w:rFonts w:hint="eastAsia"/>
        </w:rPr>
        <w:t>×</w:t>
      </w:r>
      <w:r>
        <w:t>6 m</w:t>
      </w:r>
      <w:r>
        <w:rPr>
          <w:rFonts w:hAnsi="宋体"/>
        </w:rPr>
        <w:t>、</w:t>
      </w:r>
      <w:r>
        <w:t>5 m</w:t>
      </w:r>
      <w:r>
        <w:rPr>
          <w:rFonts w:hint="eastAsia"/>
        </w:rPr>
        <w:t>×</w:t>
      </w:r>
      <w:r>
        <w:t>7 m</w:t>
      </w:r>
      <w:r>
        <w:rPr>
          <w:rFonts w:hAnsi="宋体"/>
        </w:rPr>
        <w:t>等株行距；坡地和山地果园株行距可设置为</w:t>
      </w:r>
      <w:r>
        <w:t>3 m</w:t>
      </w:r>
      <w:r>
        <w:rPr>
          <w:rFonts w:hint="eastAsia"/>
        </w:rPr>
        <w:t>×</w:t>
      </w:r>
      <w:r>
        <w:rPr>
          <w:rFonts w:hAnsi="宋体"/>
        </w:rPr>
        <w:t>（</w:t>
      </w:r>
      <w:r>
        <w:t>4</w:t>
      </w:r>
      <w:r>
        <w:rPr>
          <w:rFonts w:hint="eastAsia"/>
        </w:rPr>
        <w:t xml:space="preserve"> </w:t>
      </w:r>
      <w:r>
        <w:t>m</w:t>
      </w:r>
      <w:r>
        <w:rPr>
          <w:rFonts w:hint="eastAsia" w:ascii="Times New Roman"/>
        </w:rPr>
        <w:t>～</w:t>
      </w:r>
      <w:r>
        <w:t>5 m</w:t>
      </w:r>
      <w:r>
        <w:rPr>
          <w:rFonts w:hAnsi="宋体"/>
        </w:rPr>
        <w:t>），适当密植既可以提高土地利用率，又对水土保持起良好的作用。</w:t>
      </w:r>
    </w:p>
    <w:p>
      <w:pPr>
        <w:pStyle w:val="68"/>
        <w:spacing w:before="156" w:after="156"/>
      </w:pPr>
      <w:r>
        <w:rPr>
          <w:rFonts w:hAnsi="黑体"/>
        </w:rPr>
        <w:t>授粉树的设置</w:t>
      </w:r>
    </w:p>
    <w:p>
      <w:pPr>
        <w:pStyle w:val="59"/>
        <w:ind w:firstLine="420"/>
      </w:pPr>
      <w:r>
        <w:rPr>
          <w:rFonts w:hAnsi="宋体"/>
        </w:rPr>
        <w:t>同一果园应选择</w:t>
      </w:r>
      <w:r>
        <w:t>1</w:t>
      </w:r>
      <w:r>
        <w:rPr>
          <w:rFonts w:hAnsi="宋体"/>
        </w:rPr>
        <w:t>个</w:t>
      </w:r>
      <w:r>
        <w:rPr>
          <w:rFonts w:hint="eastAsia" w:ascii="Times New Roman"/>
        </w:rPr>
        <w:t>～</w:t>
      </w:r>
      <w:r>
        <w:t>2</w:t>
      </w:r>
      <w:r>
        <w:rPr>
          <w:rFonts w:hAnsi="宋体"/>
        </w:rPr>
        <w:t>个品种的授粉树，一般主栽品种与授粉品种的比例为</w:t>
      </w:r>
      <w:r>
        <w:t>4:1</w:t>
      </w:r>
      <w:r>
        <w:rPr>
          <w:rFonts w:hint="eastAsia" w:ascii="Times New Roman"/>
        </w:rPr>
        <w:t>～</w:t>
      </w:r>
      <w:r>
        <w:t>5:1</w:t>
      </w:r>
      <w:r>
        <w:rPr>
          <w:rFonts w:hAnsi="宋体"/>
        </w:rPr>
        <w:t>。</w:t>
      </w:r>
    </w:p>
    <w:p>
      <w:pPr>
        <w:pStyle w:val="68"/>
        <w:spacing w:before="156" w:after="156"/>
      </w:pPr>
      <w:r>
        <w:rPr>
          <w:rFonts w:hAnsi="黑体"/>
        </w:rPr>
        <w:t>苗木准备</w:t>
      </w:r>
    </w:p>
    <w:p>
      <w:pPr>
        <w:pStyle w:val="167"/>
      </w:pPr>
      <w:r>
        <w:t>苗木应选择选择芽体饱满、枝条粗壮、根系发达、无病虫害的2年生成品苗，苗高1.2 m以上，选择侧枝(2次枝)较为丰满的成品苗最佳。</w:t>
      </w:r>
    </w:p>
    <w:p>
      <w:pPr>
        <w:pStyle w:val="167"/>
      </w:pPr>
      <w:r>
        <w:t>苗木在定植前将根系浸水24</w:t>
      </w:r>
      <w:r>
        <w:rPr>
          <w:rFonts w:hint="eastAsia"/>
        </w:rPr>
        <w:t xml:space="preserve"> </w:t>
      </w:r>
      <w:r>
        <w:t>h，然后用0.3%硫酸酮溶液浸根1</w:t>
      </w:r>
      <w:r>
        <w:rPr>
          <w:rFonts w:hint="eastAsia"/>
        </w:rPr>
        <w:t xml:space="preserve"> </w:t>
      </w:r>
      <w:r>
        <w:t>h或用3波美度石硫合剂喷布全株后待栽。栽植后不定干，把侧枝短截到10</w:t>
      </w:r>
      <w:r>
        <w:rPr>
          <w:rFonts w:hint="eastAsia"/>
        </w:rPr>
        <w:t xml:space="preserve"> </w:t>
      </w:r>
      <w:r>
        <w:t>cm。</w:t>
      </w:r>
    </w:p>
    <w:p>
      <w:pPr>
        <w:pStyle w:val="68"/>
        <w:spacing w:before="156" w:after="156"/>
      </w:pPr>
      <w:r>
        <w:rPr>
          <w:rFonts w:hAnsi="黑体"/>
        </w:rPr>
        <w:t>定植时期</w:t>
      </w:r>
    </w:p>
    <w:p>
      <w:pPr>
        <w:pStyle w:val="59"/>
        <w:ind w:firstLine="420"/>
      </w:pPr>
      <w:r>
        <w:rPr>
          <w:rFonts w:hAnsi="宋体"/>
        </w:rPr>
        <w:t>在土壤解冻后，苗木发芽前进行，宜为</w:t>
      </w:r>
      <w:r>
        <w:t>3</w:t>
      </w:r>
      <w:r>
        <w:rPr>
          <w:rFonts w:hAnsi="宋体"/>
        </w:rPr>
        <w:t>月下旬</w:t>
      </w:r>
      <w:r>
        <w:t>-4</w:t>
      </w:r>
      <w:r>
        <w:rPr>
          <w:rFonts w:hAnsi="宋体"/>
        </w:rPr>
        <w:t>月上旬。</w:t>
      </w:r>
    </w:p>
    <w:p>
      <w:pPr>
        <w:pStyle w:val="68"/>
        <w:spacing w:before="156" w:after="156"/>
      </w:pPr>
      <w:r>
        <w:rPr>
          <w:rFonts w:hint="eastAsia"/>
        </w:rPr>
        <w:t>整地施肥与开挖定植穴</w:t>
      </w:r>
    </w:p>
    <w:p>
      <w:pPr>
        <w:pStyle w:val="59"/>
        <w:ind w:firstLine="420"/>
      </w:pPr>
      <w:r>
        <w:rPr>
          <w:rFonts w:hAnsi="宋体"/>
        </w:rPr>
        <w:t>冬前深耕土壤，翌年土壤翻浆时，每亩均匀撒施腐熟动物粪便</w:t>
      </w:r>
      <w:r>
        <w:t>5000</w:t>
      </w:r>
      <w:r>
        <w:rPr>
          <w:rFonts w:hint="eastAsia"/>
        </w:rPr>
        <w:t xml:space="preserve"> </w:t>
      </w:r>
      <w:r>
        <w:t>kg</w:t>
      </w:r>
      <w:r>
        <w:rPr>
          <w:rFonts w:hAnsi="宋体"/>
        </w:rPr>
        <w:t>，撒后旋耕，肥土掺混均匀，后开挖深</w:t>
      </w:r>
      <w:r>
        <w:t>60</w:t>
      </w:r>
      <w:r>
        <w:rPr>
          <w:rFonts w:hint="eastAsia"/>
        </w:rPr>
        <w:t xml:space="preserve"> </w:t>
      </w:r>
      <w:r>
        <w:t>cm</w:t>
      </w:r>
      <w:r>
        <w:rPr>
          <w:rFonts w:hint="eastAsia" w:ascii="Times New Roman"/>
        </w:rPr>
        <w:t>～</w:t>
      </w:r>
      <w:r>
        <w:t>80</w:t>
      </w:r>
      <w:r>
        <w:rPr>
          <w:rFonts w:hint="eastAsia"/>
        </w:rPr>
        <w:t xml:space="preserve"> </w:t>
      </w:r>
      <w:r>
        <w:t>cm</w:t>
      </w:r>
      <w:r>
        <w:rPr>
          <w:rFonts w:hAnsi="宋体"/>
        </w:rPr>
        <w:t>、宽</w:t>
      </w:r>
      <w:r>
        <w:t>80</w:t>
      </w:r>
      <w:r>
        <w:rPr>
          <w:rFonts w:hint="eastAsia"/>
        </w:rPr>
        <w:t xml:space="preserve"> </w:t>
      </w:r>
      <w:r>
        <w:t>cm</w:t>
      </w:r>
      <w:r>
        <w:rPr>
          <w:rFonts w:hint="eastAsia" w:ascii="Times New Roman"/>
        </w:rPr>
        <w:t>～</w:t>
      </w:r>
      <w:r>
        <w:t>100</w:t>
      </w:r>
      <w:r>
        <w:rPr>
          <w:rFonts w:hint="eastAsia"/>
        </w:rPr>
        <w:t xml:space="preserve"> </w:t>
      </w:r>
      <w:r>
        <w:t>cm</w:t>
      </w:r>
      <w:r>
        <w:rPr>
          <w:rFonts w:hAnsi="宋体"/>
        </w:rPr>
        <w:t>的定植穴。定植时伸展根系，覆土后随即浇灌根际土壤，后封埋高</w:t>
      </w:r>
      <w:r>
        <w:t>10</w:t>
      </w:r>
      <w:r>
        <w:rPr>
          <w:rFonts w:hint="eastAsia"/>
        </w:rPr>
        <w:t xml:space="preserve"> </w:t>
      </w:r>
      <w:r>
        <w:t>cm</w:t>
      </w:r>
      <w:r>
        <w:rPr>
          <w:rFonts w:hint="eastAsia" w:ascii="Times New Roman"/>
        </w:rPr>
        <w:t>～</w:t>
      </w:r>
      <w:r>
        <w:t>15</w:t>
      </w:r>
      <w:r>
        <w:rPr>
          <w:rFonts w:hint="eastAsia"/>
        </w:rPr>
        <w:t xml:space="preserve"> </w:t>
      </w:r>
      <w:r>
        <w:t>cm</w:t>
      </w:r>
      <w:r>
        <w:rPr>
          <w:rFonts w:hAnsi="宋体"/>
        </w:rPr>
        <w:t>的土堆。</w:t>
      </w:r>
    </w:p>
    <w:p>
      <w:pPr>
        <w:pStyle w:val="108"/>
        <w:spacing w:before="156" w:after="156"/>
        <w:ind w:left="0"/>
      </w:pPr>
      <w:bookmarkStart w:id="53" w:name="_Toc152159487"/>
      <w:bookmarkStart w:id="54" w:name="_Toc152076553"/>
      <w:bookmarkStart w:id="55" w:name="_Toc152145157"/>
      <w:r>
        <w:t>土肥水管理</w:t>
      </w:r>
      <w:bookmarkEnd w:id="53"/>
      <w:bookmarkEnd w:id="54"/>
      <w:bookmarkEnd w:id="55"/>
    </w:p>
    <w:p>
      <w:pPr>
        <w:pStyle w:val="68"/>
        <w:spacing w:before="156" w:after="156"/>
      </w:pPr>
      <w:r>
        <w:rPr>
          <w:rFonts w:hAnsi="黑体"/>
        </w:rPr>
        <w:t>土壤管理</w:t>
      </w:r>
    </w:p>
    <w:p>
      <w:pPr>
        <w:pStyle w:val="167"/>
      </w:pPr>
      <w:r>
        <w:t>翻耕：清耕和生草杏园土壤深翻时期一般在秋季杏树落叶后到土壤封冻之前或春季土壤解冻后到杏树萌芽之前进行。可在距树干两侧1</w:t>
      </w:r>
      <w:r>
        <w:rPr>
          <w:rFonts w:hint="eastAsia"/>
        </w:rPr>
        <w:t xml:space="preserve"> </w:t>
      </w:r>
      <w:r>
        <w:t>m的范围以外，结合施基肥开沟深施，深度为30</w:t>
      </w:r>
      <w:r>
        <w:rPr>
          <w:rFonts w:hint="eastAsia"/>
        </w:rPr>
        <w:t xml:space="preserve"> </w:t>
      </w:r>
      <w:r>
        <w:t>cm</w:t>
      </w:r>
      <w:r>
        <w:rPr>
          <w:rFonts w:hint="eastAsia" w:ascii="Times New Roman"/>
        </w:rPr>
        <w:t>～</w:t>
      </w:r>
      <w:r>
        <w:t>50</w:t>
      </w:r>
      <w:r>
        <w:rPr>
          <w:rFonts w:hint="eastAsia"/>
        </w:rPr>
        <w:t xml:space="preserve"> </w:t>
      </w:r>
      <w:r>
        <w:t>cm。</w:t>
      </w:r>
    </w:p>
    <w:p>
      <w:pPr>
        <w:pStyle w:val="167"/>
      </w:pPr>
      <w:r>
        <w:t>除草：清耕杏园每年中耕除草时间和次数与降水和杏园灌溉相关。降水量大，中耕次数应相应地增加。一般杏园一年中耕5次</w:t>
      </w:r>
      <w:r>
        <w:rPr>
          <w:rFonts w:hint="eastAsia" w:ascii="Times New Roman"/>
        </w:rPr>
        <w:t>～</w:t>
      </w:r>
      <w:r>
        <w:t>6次，深度5</w:t>
      </w:r>
      <w:r>
        <w:rPr>
          <w:rFonts w:hint="eastAsia"/>
        </w:rPr>
        <w:t xml:space="preserve"> </w:t>
      </w:r>
      <w:r>
        <w:t>cm</w:t>
      </w:r>
      <w:r>
        <w:rPr>
          <w:rFonts w:hint="eastAsia" w:ascii="Times New Roman"/>
        </w:rPr>
        <w:t>～</w:t>
      </w:r>
      <w:r>
        <w:t>10</w:t>
      </w:r>
      <w:r>
        <w:rPr>
          <w:rFonts w:hint="eastAsia"/>
        </w:rPr>
        <w:t xml:space="preserve"> </w:t>
      </w:r>
      <w:r>
        <w:t>cm，松土保墒。</w:t>
      </w:r>
    </w:p>
    <w:p>
      <w:pPr>
        <w:pStyle w:val="167"/>
      </w:pPr>
      <w:r>
        <w:rPr>
          <w:rFonts w:hint="eastAsia"/>
        </w:rPr>
        <w:t>肥水管理：</w:t>
      </w:r>
      <w:r>
        <w:t>生草杏园应注意增加肥水用量，以免造成草与树体竞争营养和水分。种植豆科牧草的杏园，结合秋季翻草进行土壤深翻，改善土壤通透性，提高土壤有机质含量和综合肥力。</w:t>
      </w:r>
    </w:p>
    <w:p>
      <w:pPr>
        <w:pStyle w:val="167"/>
      </w:pPr>
      <w:r>
        <w:t>间作、覆草：幼树期行间间作豆科等矮杆作物。树盘内可覆压秸杆、稻草等，上面覆土。</w:t>
      </w:r>
    </w:p>
    <w:p>
      <w:pPr>
        <w:pStyle w:val="68"/>
        <w:spacing w:before="156" w:after="156"/>
      </w:pPr>
      <w:r>
        <w:rPr>
          <w:rFonts w:hAnsi="黑体"/>
        </w:rPr>
        <w:t>施肥</w:t>
      </w:r>
    </w:p>
    <w:p>
      <w:pPr>
        <w:pStyle w:val="59"/>
        <w:ind w:firstLine="420"/>
      </w:pPr>
      <w:r>
        <w:rPr>
          <w:rFonts w:hAnsi="宋体"/>
        </w:rPr>
        <w:t>根据对杏园土壤的调查和检测，确定少山红杏栽培土壤类型为沙壤土，测得杏园土壤</w:t>
      </w:r>
      <w:r>
        <w:t>pH</w:t>
      </w:r>
      <w:r>
        <w:rPr>
          <w:rFonts w:hAnsi="宋体"/>
        </w:rPr>
        <w:t>在</w:t>
      </w:r>
      <w:r>
        <w:t>5.62</w:t>
      </w:r>
      <w:r>
        <w:rPr>
          <w:rFonts w:hint="eastAsia" w:ascii="Times New Roman"/>
        </w:rPr>
        <w:t>～</w:t>
      </w:r>
      <w:r>
        <w:t>6.22</w:t>
      </w:r>
      <w:r>
        <w:rPr>
          <w:rFonts w:hAnsi="宋体"/>
        </w:rPr>
        <w:t>之间，土壤各营养元素的平均值分别为：有机质</w:t>
      </w:r>
      <w:r>
        <w:t>11.37</w:t>
      </w:r>
      <w:r>
        <w:rPr>
          <w:rFonts w:hint="eastAsia"/>
        </w:rPr>
        <w:t xml:space="preserve"> </w:t>
      </w:r>
      <w:r>
        <w:t>g/kg</w:t>
      </w:r>
      <w:r>
        <w:rPr>
          <w:rFonts w:hAnsi="宋体"/>
        </w:rPr>
        <w:t>、碱解氮</w:t>
      </w:r>
      <w:r>
        <w:t>85.84</w:t>
      </w:r>
      <w:r>
        <w:rPr>
          <w:rFonts w:hint="eastAsia"/>
        </w:rPr>
        <w:t xml:space="preserve"> </w:t>
      </w:r>
      <w:r>
        <w:t>mg/kg</w:t>
      </w:r>
      <w:r>
        <w:rPr>
          <w:rFonts w:hAnsi="宋体"/>
        </w:rPr>
        <w:t>、有效磷</w:t>
      </w:r>
      <w:r>
        <w:t>35.63</w:t>
      </w:r>
      <w:r>
        <w:rPr>
          <w:rFonts w:hint="eastAsia"/>
        </w:rPr>
        <w:t xml:space="preserve"> </w:t>
      </w:r>
      <w:r>
        <w:t>mg/kg</w:t>
      </w:r>
      <w:r>
        <w:rPr>
          <w:rFonts w:hAnsi="宋体"/>
        </w:rPr>
        <w:t>、速效钾</w:t>
      </w:r>
      <w:r>
        <w:t>108.36</w:t>
      </w:r>
      <w:r>
        <w:rPr>
          <w:rFonts w:hint="eastAsia"/>
        </w:rPr>
        <w:t xml:space="preserve"> </w:t>
      </w:r>
      <w:r>
        <w:t>mg/kg</w:t>
      </w:r>
      <w:r>
        <w:rPr>
          <w:rFonts w:hAnsi="宋体"/>
        </w:rPr>
        <w:t>、交换性钙</w:t>
      </w:r>
      <w:r>
        <w:t>1.99</w:t>
      </w:r>
      <w:r>
        <w:rPr>
          <w:rFonts w:hint="eastAsia"/>
        </w:rPr>
        <w:t xml:space="preserve"> </w:t>
      </w:r>
      <w:r>
        <w:t>mg/kg</w:t>
      </w:r>
      <w:r>
        <w:rPr>
          <w:rFonts w:hAnsi="宋体"/>
        </w:rPr>
        <w:t>、交换性镁</w:t>
      </w:r>
      <w:r>
        <w:t>0.65</w:t>
      </w:r>
      <w:r>
        <w:rPr>
          <w:rFonts w:hint="eastAsia"/>
        </w:rPr>
        <w:t xml:space="preserve"> </w:t>
      </w:r>
      <w:r>
        <w:t>mg/kg</w:t>
      </w:r>
      <w:r>
        <w:rPr>
          <w:rFonts w:hAnsi="宋体"/>
        </w:rPr>
        <w:t>、有效铁</w:t>
      </w:r>
      <w:r>
        <w:t>19.78</w:t>
      </w:r>
      <w:r>
        <w:rPr>
          <w:rFonts w:hint="eastAsia"/>
        </w:rPr>
        <w:t xml:space="preserve"> </w:t>
      </w:r>
      <w:r>
        <w:t>mg/kg</w:t>
      </w:r>
      <w:r>
        <w:rPr>
          <w:rFonts w:hAnsi="宋体"/>
        </w:rPr>
        <w:t>、有效锰</w:t>
      </w:r>
      <w:r>
        <w:t>28.32 mg/kg</w:t>
      </w:r>
      <w:r>
        <w:rPr>
          <w:rFonts w:hAnsi="宋体"/>
        </w:rPr>
        <w:t>、有效硼</w:t>
      </w:r>
      <w:r>
        <w:t>0.27</w:t>
      </w:r>
      <w:r>
        <w:rPr>
          <w:rFonts w:hint="eastAsia"/>
        </w:rPr>
        <w:t xml:space="preserve"> </w:t>
      </w:r>
      <w:r>
        <w:t>mg/kg</w:t>
      </w:r>
      <w:r>
        <w:rPr>
          <w:rFonts w:hAnsi="宋体"/>
        </w:rPr>
        <w:t>、有效锌</w:t>
      </w:r>
      <w:r>
        <w:t>1.67</w:t>
      </w:r>
      <w:r>
        <w:rPr>
          <w:rFonts w:hint="eastAsia"/>
        </w:rPr>
        <w:t xml:space="preserve"> </w:t>
      </w:r>
      <w:r>
        <w:t>mg/kg</w:t>
      </w:r>
      <w:r>
        <w:rPr>
          <w:rFonts w:hAnsi="宋体"/>
        </w:rPr>
        <w:t>、有效铜</w:t>
      </w:r>
      <w:r>
        <w:t>2.86</w:t>
      </w:r>
      <w:r>
        <w:rPr>
          <w:rFonts w:hint="eastAsia"/>
        </w:rPr>
        <w:t xml:space="preserve"> </w:t>
      </w:r>
      <w:r>
        <w:t>mg/kg</w:t>
      </w:r>
      <w:r>
        <w:rPr>
          <w:rFonts w:hAnsi="宋体"/>
        </w:rPr>
        <w:t>。并根据测定结果定制少山红杏专用配方肥。</w:t>
      </w:r>
    </w:p>
    <w:p>
      <w:pPr>
        <w:pStyle w:val="97"/>
        <w:spacing w:before="156" w:after="156"/>
      </w:pPr>
      <w:r>
        <w:rPr>
          <w:rFonts w:hAnsi="黑体"/>
        </w:rPr>
        <w:t>基肥</w:t>
      </w:r>
    </w:p>
    <w:p>
      <w:pPr>
        <w:pStyle w:val="170"/>
      </w:pPr>
      <w:r>
        <w:rPr>
          <w:rFonts w:hint="eastAsia"/>
        </w:rPr>
        <w:t>以商品有机肥为主，适量加人入化肥，于9月下旬到10月上旬施入。幼树和初结果树每亩施基肥600 kg</w:t>
      </w:r>
      <w:r>
        <w:rPr>
          <w:rFonts w:hint="eastAsia" w:ascii="Times New Roman"/>
        </w:rPr>
        <w:t>～</w:t>
      </w:r>
      <w:r>
        <w:rPr>
          <w:rFonts w:hint="eastAsia"/>
        </w:rPr>
        <w:t>700 kg。盛果期树施肥量应按结果量大小而定，一般每亩施基肥800 kg。基肥施入量占年施肥量的70 %以上。采用放射状沟施、环状沟施和条沟施等施肥方法。施肥时期在9月底以前完成。</w:t>
      </w:r>
    </w:p>
    <w:p>
      <w:pPr>
        <w:pStyle w:val="170"/>
      </w:pPr>
      <w:r>
        <w:t>以腐熟动物粪便为主，适量加入化肥。亩施2500</w:t>
      </w:r>
      <w:r>
        <w:rPr>
          <w:rFonts w:hint="eastAsia"/>
        </w:rPr>
        <w:t xml:space="preserve"> </w:t>
      </w:r>
      <w:r>
        <w:t>kg牛羊粪</w:t>
      </w:r>
      <w:r>
        <w:rPr>
          <w:rFonts w:hint="eastAsia"/>
        </w:rPr>
        <w:t>、</w:t>
      </w:r>
      <w:r>
        <w:t>100</w:t>
      </w:r>
      <w:r>
        <w:rPr>
          <w:rFonts w:hint="eastAsia"/>
        </w:rPr>
        <w:t xml:space="preserve"> </w:t>
      </w:r>
      <w:r>
        <w:t>kg豆渣</w:t>
      </w:r>
      <w:r>
        <w:rPr>
          <w:rFonts w:hint="eastAsia"/>
        </w:rPr>
        <w:t>、</w:t>
      </w:r>
      <w:r>
        <w:t>25</w:t>
      </w:r>
      <w:r>
        <w:rPr>
          <w:rFonts w:hint="eastAsia"/>
        </w:rPr>
        <w:t xml:space="preserve"> </w:t>
      </w:r>
      <w:r>
        <w:t>kg硫酸钾</w:t>
      </w:r>
      <w:r>
        <w:rPr>
          <w:rFonts w:hint="eastAsia"/>
        </w:rPr>
        <w:t>、</w:t>
      </w:r>
      <w:r>
        <w:t>25</w:t>
      </w:r>
      <w:r>
        <w:rPr>
          <w:rFonts w:hint="eastAsia"/>
        </w:rPr>
        <w:t xml:space="preserve"> </w:t>
      </w:r>
      <w:r>
        <w:t>kg硝酸铵钙</w:t>
      </w:r>
      <w:r>
        <w:rPr>
          <w:rFonts w:hint="eastAsia"/>
        </w:rPr>
        <w:t>、</w:t>
      </w:r>
      <w:r>
        <w:t>10</w:t>
      </w:r>
      <w:r>
        <w:rPr>
          <w:rFonts w:hint="eastAsia"/>
        </w:rPr>
        <w:t xml:space="preserve"> </w:t>
      </w:r>
      <w:r>
        <w:t>kg硫酸镁</w:t>
      </w:r>
      <w:r>
        <w:rPr>
          <w:rFonts w:hint="eastAsia"/>
        </w:rPr>
        <w:t>、</w:t>
      </w:r>
      <w:r>
        <w:t>2.5</w:t>
      </w:r>
      <w:r>
        <w:rPr>
          <w:rFonts w:hint="eastAsia"/>
        </w:rPr>
        <w:t xml:space="preserve"> </w:t>
      </w:r>
      <w:r>
        <w:t>kg硫酸亚铁</w:t>
      </w:r>
      <w:r>
        <w:rPr>
          <w:rFonts w:hint="eastAsia"/>
        </w:rPr>
        <w:t>、</w:t>
      </w:r>
      <w:r>
        <w:t>1</w:t>
      </w:r>
      <w:r>
        <w:rPr>
          <w:rFonts w:hint="eastAsia"/>
        </w:rPr>
        <w:t xml:space="preserve"> </w:t>
      </w:r>
      <w:r>
        <w:t>kg硫酸锌</w:t>
      </w:r>
      <w:r>
        <w:rPr>
          <w:rFonts w:hint="eastAsia"/>
        </w:rPr>
        <w:t>、</w:t>
      </w:r>
      <w:r>
        <w:t>1.5</w:t>
      </w:r>
      <w:r>
        <w:rPr>
          <w:rFonts w:hint="eastAsia"/>
        </w:rPr>
        <w:t xml:space="preserve"> </w:t>
      </w:r>
      <w:r>
        <w:t>kg硼</w:t>
      </w:r>
      <w:r>
        <w:rPr>
          <w:rFonts w:hint="eastAsia"/>
        </w:rPr>
        <w:t>、</w:t>
      </w:r>
      <w:r>
        <w:t>1</w:t>
      </w:r>
      <w:r>
        <w:rPr>
          <w:rFonts w:hint="eastAsia"/>
        </w:rPr>
        <w:t xml:space="preserve"> </w:t>
      </w:r>
      <w:r>
        <w:t>kg土壤生物菌接种剂，把粪肥菌全部掺混均匀，再用农膜封闭发酵腐熟20</w:t>
      </w:r>
      <w:r>
        <w:rPr>
          <w:rFonts w:hint="eastAsia"/>
        </w:rPr>
        <w:t xml:space="preserve"> </w:t>
      </w:r>
      <w:r>
        <w:t>d</w:t>
      </w:r>
      <w:r>
        <w:rPr>
          <w:rFonts w:hint="eastAsia" w:ascii="Times New Roman"/>
        </w:rPr>
        <w:t>～</w:t>
      </w:r>
      <w:r>
        <w:t>30</w:t>
      </w:r>
      <w:r>
        <w:rPr>
          <w:rFonts w:hint="eastAsia"/>
        </w:rPr>
        <w:t xml:space="preserve"> </w:t>
      </w:r>
      <w:r>
        <w:t>d后下地。施肥时期在9月底以前结束。</w:t>
      </w:r>
    </w:p>
    <w:p>
      <w:pPr>
        <w:pStyle w:val="97"/>
        <w:spacing w:before="156" w:after="156"/>
      </w:pPr>
      <w:r>
        <w:rPr>
          <w:rFonts w:hAnsi="黑体"/>
        </w:rPr>
        <w:t>追肥</w:t>
      </w:r>
    </w:p>
    <w:p>
      <w:pPr>
        <w:pStyle w:val="59"/>
        <w:ind w:firstLine="420"/>
      </w:pPr>
      <w:r>
        <w:rPr>
          <w:rFonts w:hAnsi="宋体"/>
        </w:rPr>
        <w:t>在萌芽前和硬核期，追施速效氮肥，适量配合磷钾肥。采后以追施磷、钾肥为主，少量配合复肥。衰老树和弱树采收后适量加大氮肥的配合量。成龄树年施入量为每</w:t>
      </w:r>
      <w:r>
        <w:rPr>
          <w:rFonts w:hint="eastAsia"/>
        </w:rPr>
        <w:t>6</w:t>
      </w:r>
      <w:r>
        <w:t>67</w:t>
      </w:r>
      <w:r>
        <w:rPr>
          <w:rFonts w:hint="eastAsia"/>
        </w:rPr>
        <w:t xml:space="preserve"> </w:t>
      </w:r>
      <w:r>
        <w:t>m</w:t>
      </w:r>
      <w:r>
        <w:rPr>
          <w:vertAlign w:val="superscript"/>
        </w:rPr>
        <w:t>2</w:t>
      </w:r>
      <w:r>
        <w:rPr>
          <w:rFonts w:hAnsi="宋体"/>
        </w:rPr>
        <w:t>施纯氮</w:t>
      </w:r>
      <w:r>
        <w:t>20</w:t>
      </w:r>
      <w:r>
        <w:rPr>
          <w:rFonts w:hint="eastAsia"/>
        </w:rPr>
        <w:t xml:space="preserve"> </w:t>
      </w:r>
      <w:r>
        <w:t>kg</w:t>
      </w:r>
      <w:r>
        <w:rPr>
          <w:rFonts w:hAnsi="宋体"/>
        </w:rPr>
        <w:t>，五氧化二磷</w:t>
      </w:r>
      <w:r>
        <w:t>7</w:t>
      </w:r>
      <w:r>
        <w:rPr>
          <w:rFonts w:hint="eastAsia"/>
        </w:rPr>
        <w:t xml:space="preserve"> </w:t>
      </w:r>
      <w:r>
        <w:t>kg</w:t>
      </w:r>
      <w:r>
        <w:rPr>
          <w:rFonts w:hAnsi="宋体"/>
        </w:rPr>
        <w:t>，氧化钾</w:t>
      </w:r>
      <w:r>
        <w:t>20</w:t>
      </w:r>
      <w:r>
        <w:rPr>
          <w:rFonts w:hint="eastAsia"/>
        </w:rPr>
        <w:t xml:space="preserve"> </w:t>
      </w:r>
      <w:r>
        <w:t>kg</w:t>
      </w:r>
      <w:r>
        <w:rPr>
          <w:rFonts w:hAnsi="宋体"/>
        </w:rPr>
        <w:t>。化肥采用穴施或条施。</w:t>
      </w:r>
    </w:p>
    <w:p>
      <w:pPr>
        <w:pStyle w:val="97"/>
        <w:spacing w:before="156" w:after="156"/>
      </w:pPr>
      <w:r>
        <w:rPr>
          <w:rFonts w:hAnsi="黑体"/>
        </w:rPr>
        <w:t>叶面喷肥</w:t>
      </w:r>
    </w:p>
    <w:p>
      <w:pPr>
        <w:pStyle w:val="59"/>
        <w:ind w:firstLine="420"/>
      </w:pPr>
      <w:r>
        <w:rPr>
          <w:rFonts w:hAnsi="宋体"/>
        </w:rPr>
        <w:t>分别在果实膨大期、硬核期、果实采收后，喷布</w:t>
      </w:r>
      <w:r>
        <w:t>0.2%</w:t>
      </w:r>
      <w:r>
        <w:rPr>
          <w:rFonts w:hint="eastAsia" w:ascii="Times New Roman"/>
        </w:rPr>
        <w:t>～</w:t>
      </w:r>
      <w:r>
        <w:t>0.5%</w:t>
      </w:r>
      <w:r>
        <w:rPr>
          <w:rFonts w:hint="eastAsia" w:hAnsi="宋体"/>
        </w:rPr>
        <w:t>的</w:t>
      </w:r>
      <w:r>
        <w:rPr>
          <w:rFonts w:hAnsi="宋体"/>
        </w:rPr>
        <w:t>磷酸二氢钾水溶液。</w:t>
      </w:r>
    </w:p>
    <w:p>
      <w:pPr>
        <w:pStyle w:val="68"/>
        <w:spacing w:before="156" w:after="156"/>
      </w:pPr>
      <w:r>
        <w:t>灌水</w:t>
      </w:r>
    </w:p>
    <w:p>
      <w:pPr>
        <w:pStyle w:val="97"/>
        <w:spacing w:before="156" w:after="156"/>
      </w:pPr>
      <w:r>
        <w:rPr>
          <w:rFonts w:hAnsi="黑体"/>
        </w:rPr>
        <w:t>灌水时期</w:t>
      </w:r>
    </w:p>
    <w:p>
      <w:pPr>
        <w:pStyle w:val="59"/>
        <w:ind w:firstLine="420"/>
      </w:pPr>
      <w:r>
        <w:rPr>
          <w:rFonts w:hAnsi="宋体"/>
        </w:rPr>
        <w:t>萌动期</w:t>
      </w:r>
      <w:r>
        <w:t>(</w:t>
      </w:r>
      <w:r>
        <w:rPr>
          <w:rFonts w:hAnsi="宋体"/>
        </w:rPr>
        <w:t>最迟不能晚于花前</w:t>
      </w:r>
      <w:r>
        <w:t>10</w:t>
      </w:r>
      <w:r>
        <w:rPr>
          <w:rFonts w:hint="eastAsia"/>
        </w:rPr>
        <w:t xml:space="preserve"> </w:t>
      </w:r>
      <w:r>
        <w:t>d</w:t>
      </w:r>
      <w:r>
        <w:rPr>
          <w:rFonts w:hint="eastAsia" w:ascii="Times New Roman"/>
        </w:rPr>
        <w:t>～</w:t>
      </w:r>
      <w:r>
        <w:t>12</w:t>
      </w:r>
      <w:r>
        <w:rPr>
          <w:rFonts w:hint="eastAsia"/>
        </w:rPr>
        <w:t xml:space="preserve"> </w:t>
      </w:r>
      <w:r>
        <w:t>d)</w:t>
      </w:r>
      <w:r>
        <w:rPr>
          <w:rFonts w:hAnsi="宋体"/>
        </w:rPr>
        <w:t>、硬核期、秋施基肥后和土壤封冻前各浇水一次。</w:t>
      </w:r>
    </w:p>
    <w:p>
      <w:pPr>
        <w:pStyle w:val="97"/>
        <w:spacing w:before="156" w:after="156"/>
      </w:pPr>
      <w:r>
        <w:rPr>
          <w:rFonts w:hAnsi="黑体"/>
        </w:rPr>
        <w:t>灌水方法</w:t>
      </w:r>
    </w:p>
    <w:p>
      <w:pPr>
        <w:pStyle w:val="170"/>
      </w:pPr>
      <w:r>
        <w:t>滴灌：将有压力的水，通过一系列的管道和滴头灌入杏树根区的土壤中。对防止土壤次生盐渍化有明显作用，可增产20%</w:t>
      </w:r>
      <w:r>
        <w:rPr>
          <w:rFonts w:hint="eastAsia" w:ascii="Times New Roman"/>
        </w:rPr>
        <w:t>～</w:t>
      </w:r>
      <w:r>
        <w:t>30%。尤其对干旱，缺水严重的果园比较适用。首次滴灌务使土壤水分达到饱和，以后可使土壤湿度经常保持在田间最大持水量的70%左右。</w:t>
      </w:r>
    </w:p>
    <w:p>
      <w:pPr>
        <w:pStyle w:val="170"/>
      </w:pPr>
      <w:r>
        <w:t>穴施肥水：可结合追肥施入。</w:t>
      </w:r>
    </w:p>
    <w:p>
      <w:pPr>
        <w:pStyle w:val="108"/>
        <w:spacing w:before="156" w:after="156"/>
        <w:ind w:left="0"/>
      </w:pPr>
      <w:bookmarkStart w:id="56" w:name="_Toc152076554"/>
      <w:bookmarkStart w:id="57" w:name="_Toc152145158"/>
      <w:bookmarkStart w:id="58" w:name="_Toc152159488"/>
      <w:r>
        <w:rPr>
          <w:rFonts w:hAnsi="黑体"/>
        </w:rPr>
        <w:t>修剪整形</w:t>
      </w:r>
      <w:bookmarkEnd w:id="56"/>
      <w:bookmarkEnd w:id="57"/>
      <w:bookmarkEnd w:id="58"/>
    </w:p>
    <w:p>
      <w:pPr>
        <w:pStyle w:val="68"/>
        <w:spacing w:before="156" w:after="156"/>
      </w:pPr>
      <w:r>
        <w:rPr>
          <w:rFonts w:hAnsi="黑体"/>
        </w:rPr>
        <w:t>修剪时期</w:t>
      </w:r>
    </w:p>
    <w:p>
      <w:pPr>
        <w:pStyle w:val="59"/>
        <w:ind w:firstLine="420"/>
      </w:pPr>
      <w:r>
        <w:rPr>
          <w:rFonts w:hAnsi="宋体"/>
        </w:rPr>
        <w:t>冬剪在落叶后至发芽前进行，但以早春进行最好；夏剪在萌芽以后至落叶以前的生长季节进行。</w:t>
      </w:r>
    </w:p>
    <w:p>
      <w:pPr>
        <w:pStyle w:val="68"/>
        <w:spacing w:before="156" w:after="156"/>
      </w:pPr>
      <w:r>
        <w:rPr>
          <w:rFonts w:hAnsi="黑体"/>
        </w:rPr>
        <w:t>主要树形及结构</w:t>
      </w:r>
    </w:p>
    <w:p>
      <w:pPr>
        <w:pStyle w:val="167"/>
      </w:pPr>
      <w:r>
        <w:t>自然圆头形：主干高60</w:t>
      </w:r>
      <w:r>
        <w:rPr>
          <w:rFonts w:hint="eastAsia"/>
        </w:rPr>
        <w:t xml:space="preserve"> </w:t>
      </w:r>
      <w:r>
        <w:t>cm</w:t>
      </w:r>
      <w:r>
        <w:rPr>
          <w:rFonts w:hint="eastAsia" w:ascii="Times New Roman"/>
        </w:rPr>
        <w:t>～</w:t>
      </w:r>
      <w:r>
        <w:t>80</w:t>
      </w:r>
      <w:r>
        <w:rPr>
          <w:rFonts w:hint="eastAsia"/>
        </w:rPr>
        <w:t xml:space="preserve"> </w:t>
      </w:r>
      <w:r>
        <w:t>cm左右，无明显中心干，在整形带内有5个</w:t>
      </w:r>
      <w:r>
        <w:rPr>
          <w:rFonts w:hint="eastAsia" w:ascii="Times New Roman"/>
        </w:rPr>
        <w:t>～</w:t>
      </w:r>
      <w:r>
        <w:t>6个主枝，均匀错落有致地分布在主干上，每主枝上有2个</w:t>
      </w:r>
      <w:r>
        <w:rPr>
          <w:rFonts w:hint="eastAsia" w:ascii="Times New Roman"/>
        </w:rPr>
        <w:t>～</w:t>
      </w:r>
      <w:r>
        <w:t>3个侧枝。树高3.5</w:t>
      </w:r>
      <w:r>
        <w:rPr>
          <w:rFonts w:hint="eastAsia"/>
        </w:rPr>
        <w:t xml:space="preserve"> </w:t>
      </w:r>
      <w:r>
        <w:t>m</w:t>
      </w:r>
      <w:r>
        <w:rPr>
          <w:rFonts w:hint="eastAsia" w:ascii="Times New Roman"/>
        </w:rPr>
        <w:t>～</w:t>
      </w:r>
      <w:r>
        <w:t>4</w:t>
      </w:r>
      <w:r>
        <w:rPr>
          <w:rFonts w:hint="eastAsia"/>
        </w:rPr>
        <w:t xml:space="preserve"> </w:t>
      </w:r>
      <w:r>
        <w:t>m。</w:t>
      </w:r>
    </w:p>
    <w:p>
      <w:pPr>
        <w:pStyle w:val="167"/>
      </w:pPr>
      <w:r>
        <w:t>疏散分层</w:t>
      </w:r>
      <w:r>
        <w:rPr>
          <w:rFonts w:hint="eastAsia"/>
        </w:rPr>
        <w:t>形：主干高60 cm</w:t>
      </w:r>
      <w:r>
        <w:rPr>
          <w:rFonts w:hint="eastAsia" w:ascii="Times New Roman"/>
        </w:rPr>
        <w:t>～</w:t>
      </w:r>
      <w:r>
        <w:rPr>
          <w:rFonts w:hint="eastAsia"/>
        </w:rPr>
        <w:t>80 cm 左右，有明显中心干，全树有6个</w:t>
      </w:r>
      <w:r>
        <w:rPr>
          <w:rFonts w:hint="eastAsia" w:ascii="Times New Roman"/>
        </w:rPr>
        <w:t>～</w:t>
      </w:r>
      <w:r>
        <w:rPr>
          <w:rFonts w:hint="eastAsia"/>
        </w:rPr>
        <w:t>8个主枝，分层排列在中心干上。第一层主枝3个</w:t>
      </w:r>
      <w:r>
        <w:rPr>
          <w:rFonts w:hint="eastAsia" w:ascii="Times New Roman"/>
        </w:rPr>
        <w:t>～</w:t>
      </w:r>
      <w:r>
        <w:rPr>
          <w:rFonts w:hint="eastAsia"/>
        </w:rPr>
        <w:t>4个，第二层主枝2个</w:t>
      </w:r>
      <w:r>
        <w:rPr>
          <w:rFonts w:hint="eastAsia" w:ascii="Times New Roman"/>
        </w:rPr>
        <w:t>～</w:t>
      </w:r>
      <w:r>
        <w:rPr>
          <w:rFonts w:hint="eastAsia"/>
        </w:rPr>
        <w:t>3个，一</w:t>
      </w:r>
      <w:r>
        <w:t>、二层主枝的层间距60</w:t>
      </w:r>
      <w:r>
        <w:rPr>
          <w:rFonts w:hint="eastAsia"/>
        </w:rPr>
        <w:t xml:space="preserve"> </w:t>
      </w:r>
      <w:r>
        <w:t>cm</w:t>
      </w:r>
      <w:r>
        <w:rPr>
          <w:rFonts w:hint="eastAsia" w:ascii="Times New Roman"/>
        </w:rPr>
        <w:t>～</w:t>
      </w:r>
      <w:r>
        <w:t>80</w:t>
      </w:r>
      <w:r>
        <w:rPr>
          <w:rFonts w:hint="eastAsia"/>
        </w:rPr>
        <w:t xml:space="preserve"> </w:t>
      </w:r>
      <w:r>
        <w:t>cm。第三层主枝</w:t>
      </w:r>
      <w:r>
        <w:rPr>
          <w:rFonts w:hint="eastAsia"/>
        </w:rPr>
        <w:t>1</w:t>
      </w:r>
      <w:r>
        <w:t>个</w:t>
      </w:r>
      <w:r>
        <w:rPr>
          <w:rFonts w:hint="eastAsia" w:ascii="Times New Roman"/>
        </w:rPr>
        <w:t>～</w:t>
      </w:r>
      <w:r>
        <w:t>2个，二、三层主枝的层间距40</w:t>
      </w:r>
      <w:r>
        <w:rPr>
          <w:rFonts w:hint="eastAsia"/>
        </w:rPr>
        <w:t xml:space="preserve"> </w:t>
      </w:r>
      <w:r>
        <w:t>cm</w:t>
      </w:r>
      <w:r>
        <w:rPr>
          <w:rFonts w:hint="eastAsia" w:ascii="Times New Roman"/>
        </w:rPr>
        <w:t>～</w:t>
      </w:r>
      <w:r>
        <w:t>60</w:t>
      </w:r>
      <w:r>
        <w:rPr>
          <w:rFonts w:hint="eastAsia"/>
        </w:rPr>
        <w:t xml:space="preserve"> </w:t>
      </w:r>
      <w:r>
        <w:t>cm。各层内主枝间的距离15</w:t>
      </w:r>
      <w:r>
        <w:rPr>
          <w:rFonts w:hint="eastAsia"/>
        </w:rPr>
        <w:t xml:space="preserve"> </w:t>
      </w:r>
      <w:r>
        <w:t>cm左右。树高400</w:t>
      </w:r>
      <w:r>
        <w:rPr>
          <w:rFonts w:hint="eastAsia"/>
        </w:rPr>
        <w:t xml:space="preserve"> </w:t>
      </w:r>
      <w:r>
        <w:t>cm</w:t>
      </w:r>
      <w:r>
        <w:rPr>
          <w:rFonts w:hint="eastAsia" w:ascii="Times New Roman"/>
        </w:rPr>
        <w:t>～</w:t>
      </w:r>
      <w:r>
        <w:t>450</w:t>
      </w:r>
      <w:r>
        <w:rPr>
          <w:rFonts w:hint="eastAsia"/>
        </w:rPr>
        <w:t xml:space="preserve"> </w:t>
      </w:r>
      <w:r>
        <w:t>cm。</w:t>
      </w:r>
    </w:p>
    <w:p>
      <w:pPr>
        <w:pStyle w:val="68"/>
        <w:spacing w:before="156" w:after="156"/>
      </w:pPr>
      <w:r>
        <w:t>整形修剪技术要点</w:t>
      </w:r>
    </w:p>
    <w:p>
      <w:pPr>
        <w:pStyle w:val="97"/>
        <w:spacing w:before="156" w:after="156"/>
      </w:pPr>
      <w:r>
        <w:rPr>
          <w:rFonts w:hAnsi="黑体"/>
        </w:rPr>
        <w:t>幼树的整形</w:t>
      </w:r>
      <w:r>
        <w:rPr>
          <w:rFonts w:hint="eastAsia" w:hAnsi="黑体"/>
        </w:rPr>
        <w:t>修剪</w:t>
      </w:r>
    </w:p>
    <w:p>
      <w:pPr>
        <w:pStyle w:val="59"/>
        <w:ind w:firstLine="420"/>
      </w:pPr>
      <w:r>
        <w:rPr>
          <w:rFonts w:hAnsi="宋体"/>
        </w:rPr>
        <w:t>定植后在</w:t>
      </w:r>
      <w:r>
        <w:t>80</w:t>
      </w:r>
      <w:r>
        <w:rPr>
          <w:rFonts w:hint="eastAsia"/>
        </w:rPr>
        <w:t xml:space="preserve"> </w:t>
      </w:r>
      <w:r>
        <w:t>cm</w:t>
      </w:r>
      <w:r>
        <w:rPr>
          <w:rFonts w:hint="eastAsia" w:ascii="Times New Roman"/>
        </w:rPr>
        <w:t>～</w:t>
      </w:r>
      <w:r>
        <w:t>100</w:t>
      </w:r>
      <w:r>
        <w:rPr>
          <w:rFonts w:hint="eastAsia"/>
        </w:rPr>
        <w:t xml:space="preserve"> </w:t>
      </w:r>
      <w:r>
        <w:t>cm</w:t>
      </w:r>
      <w:r>
        <w:rPr>
          <w:rFonts w:hAnsi="宋体"/>
        </w:rPr>
        <w:t>处定干，</w:t>
      </w:r>
      <w:r>
        <w:rPr>
          <w:rFonts w:hint="eastAsia" w:hAnsi="宋体"/>
        </w:rPr>
        <w:t>剪</w:t>
      </w:r>
      <w:r>
        <w:rPr>
          <w:rFonts w:hAnsi="宋体"/>
        </w:rPr>
        <w:t>口下留</w:t>
      </w:r>
      <w:r>
        <w:t>8</w:t>
      </w:r>
      <w:r>
        <w:rPr>
          <w:rFonts w:hAnsi="宋体"/>
        </w:rPr>
        <w:t>个</w:t>
      </w:r>
      <w:r>
        <w:rPr>
          <w:rFonts w:hint="eastAsia" w:ascii="Times New Roman"/>
        </w:rPr>
        <w:t>～</w:t>
      </w:r>
      <w:r>
        <w:t>10</w:t>
      </w:r>
      <w:r>
        <w:rPr>
          <w:rFonts w:hAnsi="宋体"/>
        </w:rPr>
        <w:t>个饱满芽。根据选用的树体结构，逐年选留各层主枝和侧枝，主枝延长枝短截留长</w:t>
      </w:r>
      <w:r>
        <w:t>40</w:t>
      </w:r>
      <w:r>
        <w:rPr>
          <w:rFonts w:hint="eastAsia"/>
        </w:rPr>
        <w:t xml:space="preserve"> </w:t>
      </w:r>
      <w:r>
        <w:t>cm</w:t>
      </w:r>
      <w:r>
        <w:rPr>
          <w:rFonts w:hint="eastAsia" w:ascii="Times New Roman"/>
        </w:rPr>
        <w:t>～</w:t>
      </w:r>
      <w:r>
        <w:t>50</w:t>
      </w:r>
      <w:r>
        <w:rPr>
          <w:rFonts w:hint="eastAsia"/>
        </w:rPr>
        <w:t xml:space="preserve"> </w:t>
      </w:r>
      <w:r>
        <w:t>cm</w:t>
      </w:r>
      <w:r>
        <w:rPr>
          <w:rFonts w:hAnsi="宋体"/>
        </w:rPr>
        <w:t>，侧枝延长枝短截留长</w:t>
      </w:r>
      <w:r>
        <w:t>30</w:t>
      </w:r>
      <w:r>
        <w:rPr>
          <w:rFonts w:hint="eastAsia"/>
        </w:rPr>
        <w:t xml:space="preserve"> </w:t>
      </w:r>
      <w:r>
        <w:t>cm</w:t>
      </w:r>
      <w:r>
        <w:rPr>
          <w:rFonts w:hint="eastAsia" w:ascii="Times New Roman"/>
        </w:rPr>
        <w:t>～</w:t>
      </w:r>
      <w:r>
        <w:t>40</w:t>
      </w:r>
      <w:r>
        <w:rPr>
          <w:rFonts w:hint="eastAsia"/>
        </w:rPr>
        <w:t xml:space="preserve"> </w:t>
      </w:r>
      <w:r>
        <w:t>cm</w:t>
      </w:r>
      <w:r>
        <w:rPr>
          <w:rFonts w:hAnsi="宋体"/>
        </w:rPr>
        <w:t>。主、侧枝以外的枝条作辅养枝处理，实行短截或长放，逐年培养成结果枝组。</w:t>
      </w:r>
    </w:p>
    <w:p>
      <w:pPr>
        <w:pStyle w:val="97"/>
        <w:spacing w:before="156" w:after="156"/>
      </w:pPr>
      <w:r>
        <w:rPr>
          <w:rFonts w:hAnsi="黑体"/>
        </w:rPr>
        <w:t>初果期树的</w:t>
      </w:r>
      <w:r>
        <w:rPr>
          <w:rFonts w:hint="eastAsia" w:hAnsi="黑体"/>
        </w:rPr>
        <w:t>修剪</w:t>
      </w:r>
    </w:p>
    <w:p>
      <w:pPr>
        <w:pStyle w:val="59"/>
        <w:ind w:firstLine="420"/>
      </w:pPr>
      <w:r>
        <w:rPr>
          <w:rFonts w:hAnsi="宋体"/>
        </w:rPr>
        <w:t>继续培养各级骨干枝扩大树冠，结果枝选择中庸枝，粗度</w:t>
      </w:r>
      <w:r>
        <w:rPr>
          <w:rFonts w:hint="eastAsia"/>
        </w:rPr>
        <w:t>≤</w:t>
      </w:r>
      <w:r>
        <w:t>0.8</w:t>
      </w:r>
      <w:r>
        <w:rPr>
          <w:rFonts w:hint="eastAsia"/>
        </w:rPr>
        <w:t xml:space="preserve"> </w:t>
      </w:r>
      <w:r>
        <w:t>cm</w:t>
      </w:r>
      <w:r>
        <w:rPr>
          <w:rFonts w:hAnsi="宋体"/>
        </w:rPr>
        <w:t>，同时注意开张主、侧枝角度，留选主枝与侧枝的夹角要</w:t>
      </w:r>
      <w:r>
        <w:rPr>
          <w:rFonts w:hint="eastAsia"/>
        </w:rPr>
        <w:t>≥</w:t>
      </w:r>
      <w:r>
        <w:t>50°</w:t>
      </w:r>
      <w:r>
        <w:rPr>
          <w:rFonts w:hAnsi="宋体"/>
        </w:rPr>
        <w:t>，控制辅养枝。利用放缩结合的方法，培养结果枝组，促进花芽形成，达到早结果、多结果的目的。</w:t>
      </w:r>
    </w:p>
    <w:p>
      <w:pPr>
        <w:pStyle w:val="97"/>
        <w:spacing w:before="156" w:after="156"/>
      </w:pPr>
      <w:r>
        <w:rPr>
          <w:rFonts w:hAnsi="黑体"/>
        </w:rPr>
        <w:t>盛果期树的修剪</w:t>
      </w:r>
    </w:p>
    <w:p>
      <w:pPr>
        <w:pStyle w:val="59"/>
        <w:ind w:firstLine="420"/>
      </w:pPr>
      <w:r>
        <w:rPr>
          <w:rFonts w:hAnsi="宋体"/>
        </w:rPr>
        <w:t>主要目的是调整生长和结果的关系，平衡树势，防止大小年的发生，延长盛果期的年限，实现高产稳产。主要内容为将病虫枝、干枯枝、无用徒长枝、过密交叉枝和重叠枝等从基部疏除，粗壮且水平伸展的枝条长放，前后均易萌发、长</w:t>
      </w:r>
      <w:r>
        <w:rPr>
          <w:rFonts w:hint="eastAsia" w:hAnsi="宋体"/>
        </w:rPr>
        <w:t>势</w:t>
      </w:r>
      <w:r>
        <w:rPr>
          <w:rFonts w:hAnsi="宋体"/>
        </w:rPr>
        <w:t>近似的小枝，这些小枝不短截，翌年易形成花芽。</w:t>
      </w:r>
    </w:p>
    <w:p>
      <w:pPr>
        <w:pStyle w:val="97"/>
        <w:spacing w:before="156" w:after="156"/>
      </w:pPr>
      <w:r>
        <w:rPr>
          <w:rFonts w:hAnsi="黑体"/>
        </w:rPr>
        <w:t>衰老树的更新修剪</w:t>
      </w:r>
    </w:p>
    <w:p>
      <w:pPr>
        <w:pStyle w:val="59"/>
        <w:ind w:firstLine="420"/>
      </w:pPr>
      <w:r>
        <w:rPr>
          <w:rFonts w:hAnsi="宋体"/>
        </w:rPr>
        <w:t>根据树的衰老程度，进行骨干枝的回缩修剪，充分利用徒长枝和新萌发的枝条更新恢复树冠。</w:t>
      </w:r>
    </w:p>
    <w:p>
      <w:pPr>
        <w:pStyle w:val="97"/>
        <w:spacing w:before="156" w:after="156"/>
      </w:pPr>
      <w:r>
        <w:rPr>
          <w:rFonts w:hAnsi="黑体"/>
        </w:rPr>
        <w:t>夏季修剪</w:t>
      </w:r>
    </w:p>
    <w:p>
      <w:pPr>
        <w:pStyle w:val="59"/>
        <w:ind w:firstLine="420"/>
      </w:pPr>
      <w:r>
        <w:rPr>
          <w:rFonts w:hAnsi="宋体"/>
        </w:rPr>
        <w:t>夏剪主要是抹芽、摘心、疏间、扭梢、拉枝等。</w:t>
      </w:r>
    </w:p>
    <w:p>
      <w:pPr>
        <w:pStyle w:val="108"/>
        <w:spacing w:before="156" w:after="156"/>
        <w:ind w:left="0"/>
      </w:pPr>
      <w:bookmarkStart w:id="59" w:name="_Toc152076555"/>
      <w:bookmarkStart w:id="60" w:name="_Toc152159489"/>
      <w:bookmarkStart w:id="61" w:name="_Toc152145159"/>
      <w:r>
        <w:rPr>
          <w:rFonts w:hAnsi="黑体"/>
        </w:rPr>
        <w:t>花果管理</w:t>
      </w:r>
      <w:bookmarkEnd w:id="59"/>
      <w:bookmarkEnd w:id="60"/>
      <w:bookmarkEnd w:id="61"/>
    </w:p>
    <w:p>
      <w:pPr>
        <w:pStyle w:val="68"/>
        <w:spacing w:before="156" w:after="156"/>
      </w:pPr>
      <w:r>
        <w:rPr>
          <w:rFonts w:hAnsi="黑体"/>
        </w:rPr>
        <w:t>防止晚霜</w:t>
      </w:r>
      <w:r>
        <w:rPr>
          <w:rFonts w:hint="eastAsia" w:hAnsi="黑体"/>
        </w:rPr>
        <w:t>危</w:t>
      </w:r>
      <w:r>
        <w:rPr>
          <w:rFonts w:hAnsi="黑体"/>
        </w:rPr>
        <w:t>害</w:t>
      </w:r>
    </w:p>
    <w:p>
      <w:pPr>
        <w:pStyle w:val="59"/>
        <w:ind w:firstLine="420"/>
      </w:pPr>
      <w:r>
        <w:rPr>
          <w:rFonts w:hAnsi="宋体"/>
        </w:rPr>
        <w:t>采用冬季重剪配合夏季摘心、早春浇水、早春树干涂白延迟开花。花期前后有大风降温时，及时浇水防冻。采用熏烟法防止辐射霜冻。引起冻害的临界温度为初花期</w:t>
      </w:r>
      <w:r>
        <w:rPr>
          <w:rFonts w:hint="eastAsia"/>
        </w:rPr>
        <w:t>﹣</w:t>
      </w:r>
      <w:r>
        <w:t>3.9</w:t>
      </w:r>
      <w:r>
        <w:rPr>
          <w:rFonts w:hint="eastAsia"/>
        </w:rPr>
        <w:t xml:space="preserve"> </w:t>
      </w:r>
      <w:r>
        <w:t>℃</w:t>
      </w:r>
      <w:r>
        <w:rPr>
          <w:rFonts w:hAnsi="宋体"/>
        </w:rPr>
        <w:t>，盛花期</w:t>
      </w:r>
      <w:r>
        <w:rPr>
          <w:rFonts w:hint="eastAsia"/>
        </w:rPr>
        <w:t>﹣</w:t>
      </w:r>
      <w:r>
        <w:t>2.2</w:t>
      </w:r>
      <w:r>
        <w:rPr>
          <w:rFonts w:hint="eastAsia"/>
        </w:rPr>
        <w:t xml:space="preserve"> </w:t>
      </w:r>
      <w:r>
        <w:t>℃</w:t>
      </w:r>
      <w:r>
        <w:rPr>
          <w:rFonts w:hAnsi="宋体"/>
        </w:rPr>
        <w:t>，幼果期</w:t>
      </w:r>
      <w:r>
        <w:rPr>
          <w:rFonts w:hint="eastAsia"/>
        </w:rPr>
        <w:t>﹣</w:t>
      </w:r>
      <w:r>
        <w:t>0.6</w:t>
      </w:r>
      <w:r>
        <w:rPr>
          <w:rFonts w:hint="eastAsia"/>
        </w:rPr>
        <w:t xml:space="preserve"> </w:t>
      </w:r>
      <w:r>
        <w:t>℃</w:t>
      </w:r>
      <w:r>
        <w:rPr>
          <w:rFonts w:hAnsi="宋体"/>
        </w:rPr>
        <w:t>。在接到霜冻预报之后，及时点燃堆草或烟雾剂。发芽前喷</w:t>
      </w:r>
      <w:r>
        <w:t>0.8%</w:t>
      </w:r>
      <w:r>
        <w:rPr>
          <w:rFonts w:hint="eastAsia" w:ascii="Times New Roman"/>
        </w:rPr>
        <w:t>～</w:t>
      </w:r>
      <w:r>
        <w:t>1.5%</w:t>
      </w:r>
      <w:r>
        <w:rPr>
          <w:rFonts w:hAnsi="宋体"/>
        </w:rPr>
        <w:t>的食盐水，或</w:t>
      </w:r>
      <w:r>
        <w:t>60</w:t>
      </w:r>
      <w:r>
        <w:rPr>
          <w:rFonts w:hAnsi="宋体"/>
        </w:rPr>
        <w:t>倍的抑蒸保温剂，或</w:t>
      </w:r>
      <w:r>
        <w:t>200</w:t>
      </w:r>
      <w:r>
        <w:rPr>
          <w:rFonts w:hAnsi="宋体"/>
        </w:rPr>
        <w:t>倍高脂膜，或</w:t>
      </w:r>
      <w:r>
        <w:t>500</w:t>
      </w:r>
      <w:r>
        <w:rPr>
          <w:rFonts w:hint="eastAsia"/>
        </w:rPr>
        <w:t xml:space="preserve"> </w:t>
      </w:r>
      <w:r>
        <w:t>ppm</w:t>
      </w:r>
      <w:r>
        <w:rPr>
          <w:rFonts w:hint="eastAsia" w:ascii="Times New Roman"/>
        </w:rPr>
        <w:t>～</w:t>
      </w:r>
      <w:r>
        <w:t>2000</w:t>
      </w:r>
      <w:r>
        <w:rPr>
          <w:rFonts w:hint="eastAsia"/>
        </w:rPr>
        <w:t xml:space="preserve"> </w:t>
      </w:r>
      <w:r>
        <w:t>ppm</w:t>
      </w:r>
      <w:r>
        <w:rPr>
          <w:rFonts w:hAnsi="宋体"/>
        </w:rPr>
        <w:t>青鲜素等，以延迟花期或增强花器抗冻能力。在条件较好的地方可以试用果园增温器、吹风机等装置。</w:t>
      </w:r>
    </w:p>
    <w:p>
      <w:pPr>
        <w:pStyle w:val="68"/>
        <w:spacing w:before="156" w:after="156"/>
      </w:pPr>
      <w:r>
        <w:t>提高坐果率</w:t>
      </w:r>
    </w:p>
    <w:p>
      <w:pPr>
        <w:pStyle w:val="97"/>
        <w:spacing w:before="156" w:after="156"/>
      </w:pPr>
      <w:r>
        <w:rPr>
          <w:rFonts w:hAnsi="黑体"/>
        </w:rPr>
        <w:t>人工辅助授粉</w:t>
      </w:r>
    </w:p>
    <w:p>
      <w:pPr>
        <w:pStyle w:val="59"/>
        <w:ind w:firstLine="420"/>
      </w:pPr>
      <w:r>
        <w:rPr>
          <w:rFonts w:hAnsi="宋体"/>
        </w:rPr>
        <w:t>采用喷粉或液体喷雾。喷粉时，花粉与滑石粉或淀粉按其体积</w:t>
      </w:r>
      <w:r>
        <w:t>1</w:t>
      </w:r>
      <w:r>
        <w:rPr>
          <w:rFonts w:hAnsi="宋体"/>
        </w:rPr>
        <w:t>：</w:t>
      </w:r>
      <w:r>
        <w:t>30</w:t>
      </w:r>
      <w:r>
        <w:rPr>
          <w:rFonts w:hint="eastAsia" w:ascii="Times New Roman"/>
        </w:rPr>
        <w:t>～</w:t>
      </w:r>
      <w:r>
        <w:t>40</w:t>
      </w:r>
      <w:r>
        <w:rPr>
          <w:rFonts w:hAnsi="宋体"/>
        </w:rPr>
        <w:t>的比例混合均匀后喷布。液体喷雾时，花粉液由花粉：葡萄糖：硼酸：水按</w:t>
      </w:r>
      <w:r>
        <w:t>1</w:t>
      </w:r>
      <w:r>
        <w:rPr>
          <w:rFonts w:hAnsi="宋体"/>
        </w:rPr>
        <w:t>：</w:t>
      </w:r>
      <w:r>
        <w:t>2</w:t>
      </w:r>
      <w:r>
        <w:rPr>
          <w:rFonts w:hAnsi="宋体"/>
        </w:rPr>
        <w:t>：</w:t>
      </w:r>
      <w:r>
        <w:t>2</w:t>
      </w:r>
      <w:r>
        <w:rPr>
          <w:rFonts w:hAnsi="宋体"/>
        </w:rPr>
        <w:t>：</w:t>
      </w:r>
      <w:r>
        <w:t>500</w:t>
      </w:r>
      <w:r>
        <w:rPr>
          <w:rFonts w:hAnsi="宋体"/>
        </w:rPr>
        <w:t>的比例配制而成，于盛花期喷布，随配随喷。</w:t>
      </w:r>
    </w:p>
    <w:p>
      <w:pPr>
        <w:pStyle w:val="97"/>
        <w:spacing w:before="156" w:after="156"/>
      </w:pPr>
      <w:r>
        <w:t>补充微量元素</w:t>
      </w:r>
    </w:p>
    <w:p>
      <w:pPr>
        <w:pStyle w:val="59"/>
        <w:ind w:firstLine="420"/>
      </w:pPr>
      <w:r>
        <w:rPr>
          <w:rFonts w:hAnsi="宋体"/>
        </w:rPr>
        <w:t>在盛花期喷布</w:t>
      </w:r>
      <w:r>
        <w:t>2</w:t>
      </w:r>
      <w:r>
        <w:rPr>
          <w:rFonts w:hint="eastAsia" w:ascii="Times New Roman"/>
        </w:rPr>
        <w:t>～</w:t>
      </w:r>
      <w:r>
        <w:t>3</w:t>
      </w:r>
      <w:r>
        <w:rPr>
          <w:rFonts w:hAnsi="宋体"/>
        </w:rPr>
        <w:t>次</w:t>
      </w:r>
      <w:r>
        <w:t>0.3%</w:t>
      </w:r>
      <w:r>
        <w:rPr>
          <w:rFonts w:hAnsi="宋体"/>
        </w:rPr>
        <w:t>硼酸</w:t>
      </w:r>
      <w:r>
        <w:rPr>
          <w:rFonts w:hint="eastAsia" w:hAnsi="宋体"/>
        </w:rPr>
        <w:t>溶液</w:t>
      </w:r>
      <w:r>
        <w:rPr>
          <w:rFonts w:hAnsi="宋体"/>
        </w:rPr>
        <w:t>。</w:t>
      </w:r>
    </w:p>
    <w:p>
      <w:pPr>
        <w:pStyle w:val="97"/>
        <w:spacing w:before="156" w:after="156"/>
      </w:pPr>
      <w:r>
        <w:rPr>
          <w:rFonts w:hAnsi="黑体"/>
        </w:rPr>
        <w:t>人工疏花、疏果</w:t>
      </w:r>
    </w:p>
    <w:p>
      <w:pPr>
        <w:pStyle w:val="59"/>
        <w:ind w:firstLine="420"/>
      </w:pPr>
      <w:r>
        <w:rPr>
          <w:rFonts w:hAnsi="宋体"/>
        </w:rPr>
        <w:t>疏花时间最好在蕾期，原则是疏除树冠中下部受光条件差和晚开的花。一个结果枝尽量保留中上部花，疏除中下部花。于落花</w:t>
      </w:r>
      <w:r>
        <w:t>20</w:t>
      </w:r>
      <w:r>
        <w:rPr>
          <w:rFonts w:hAnsi="宋体"/>
        </w:rPr>
        <w:t>天后先去除病虫果、伤残果和畸形果，再疏去过密果</w:t>
      </w:r>
      <w:r>
        <w:rPr>
          <w:rFonts w:hint="eastAsia" w:hAnsi="宋体"/>
        </w:rPr>
        <w:t>、</w:t>
      </w:r>
      <w:r>
        <w:rPr>
          <w:rFonts w:hAnsi="宋体"/>
        </w:rPr>
        <w:t>中小型果，按叶果比</w:t>
      </w:r>
      <w:r>
        <w:t>15</w:t>
      </w:r>
      <w:r>
        <w:rPr>
          <w:rFonts w:hint="eastAsia" w:ascii="Times New Roman"/>
        </w:rPr>
        <w:t>～</w:t>
      </w:r>
      <w:r>
        <w:t>20</w:t>
      </w:r>
      <w:r>
        <w:rPr>
          <w:rFonts w:hAnsi="宋体"/>
        </w:rPr>
        <w:t>：</w:t>
      </w:r>
      <w:r>
        <w:t>1</w:t>
      </w:r>
      <w:r>
        <w:rPr>
          <w:rFonts w:hAnsi="宋体"/>
        </w:rPr>
        <w:t>留果，大型果按叶果比</w:t>
      </w:r>
      <w:r>
        <w:t>25</w:t>
      </w:r>
      <w:r>
        <w:rPr>
          <w:rFonts w:hAnsi="宋体"/>
        </w:rPr>
        <w:t>：</w:t>
      </w:r>
      <w:r>
        <w:t>1</w:t>
      </w:r>
      <w:r>
        <w:rPr>
          <w:rFonts w:hAnsi="宋体"/>
        </w:rPr>
        <w:t>留果，或按距离</w:t>
      </w:r>
      <w:r>
        <w:t>5</w:t>
      </w:r>
      <w:r>
        <w:rPr>
          <w:rFonts w:hint="eastAsia"/>
        </w:rPr>
        <w:t xml:space="preserve"> </w:t>
      </w:r>
      <w:r>
        <w:t>cm</w:t>
      </w:r>
      <w:r>
        <w:rPr>
          <w:rFonts w:hint="eastAsia" w:ascii="Times New Roman"/>
        </w:rPr>
        <w:t>～</w:t>
      </w:r>
      <w:r>
        <w:t>8</w:t>
      </w:r>
      <w:r>
        <w:rPr>
          <w:rFonts w:hint="eastAsia"/>
        </w:rPr>
        <w:t xml:space="preserve"> </w:t>
      </w:r>
      <w:r>
        <w:t>cm</w:t>
      </w:r>
      <w:r>
        <w:rPr>
          <w:rFonts w:hAnsi="宋体"/>
        </w:rPr>
        <w:t>左右留果</w:t>
      </w:r>
      <w:r>
        <w:t>1</w:t>
      </w:r>
      <w:r>
        <w:rPr>
          <w:rFonts w:hAnsi="宋体"/>
        </w:rPr>
        <w:t>个。</w:t>
      </w:r>
    </w:p>
    <w:p>
      <w:pPr>
        <w:pStyle w:val="108"/>
        <w:spacing w:before="156" w:after="156"/>
        <w:ind w:left="0"/>
      </w:pPr>
      <w:bookmarkStart w:id="62" w:name="_Toc152076556"/>
      <w:bookmarkStart w:id="63" w:name="_Toc152145160"/>
      <w:bookmarkStart w:id="64" w:name="_Toc152159490"/>
      <w:r>
        <w:t>病虫害防治</w:t>
      </w:r>
      <w:bookmarkEnd w:id="62"/>
      <w:bookmarkEnd w:id="63"/>
      <w:bookmarkEnd w:id="64"/>
    </w:p>
    <w:p>
      <w:pPr>
        <w:pStyle w:val="68"/>
        <w:spacing w:before="156" w:after="156"/>
      </w:pPr>
      <w:r>
        <w:rPr>
          <w:rFonts w:hAnsi="黑体"/>
        </w:rPr>
        <w:t>防治原则</w:t>
      </w:r>
    </w:p>
    <w:p>
      <w:pPr>
        <w:pStyle w:val="59"/>
        <w:ind w:firstLine="420"/>
      </w:pPr>
      <w:r>
        <w:rPr>
          <w:rFonts w:hAnsi="宋体"/>
        </w:rPr>
        <w:t>贯彻预防为主、综合防治的方针，采取农业防治、生物防治和化学防治相结合。做好病虫害预测预报和药效试验，提高防治效果。选用高效低毒、低残留，对天敌杀伤力轻的化学农药和生物农药，并要交替使用不同种类的农药。</w:t>
      </w:r>
    </w:p>
    <w:p>
      <w:pPr>
        <w:pStyle w:val="68"/>
        <w:spacing w:before="156" w:after="156"/>
      </w:pPr>
      <w:r>
        <w:rPr>
          <w:rFonts w:hAnsi="黑体"/>
        </w:rPr>
        <w:t>主要病虫害</w:t>
      </w:r>
    </w:p>
    <w:p>
      <w:pPr>
        <w:pStyle w:val="59"/>
        <w:ind w:firstLine="420"/>
      </w:pPr>
      <w:r>
        <w:rPr>
          <w:rFonts w:hAnsi="宋体"/>
        </w:rPr>
        <w:t>有流胶病、黑点病、疮痂病、炭疽病等病害；有蚜虫、叶螨、卷叶虫类、食心虫类、金纹细蛾和绿盲蝽等虫害。</w:t>
      </w:r>
    </w:p>
    <w:p>
      <w:pPr>
        <w:pStyle w:val="68"/>
        <w:spacing w:before="156" w:after="156"/>
      </w:pPr>
      <w:r>
        <w:rPr>
          <w:rFonts w:hAnsi="黑体"/>
        </w:rPr>
        <w:t>农业防治</w:t>
      </w:r>
    </w:p>
    <w:p>
      <w:pPr>
        <w:pStyle w:val="59"/>
        <w:ind w:firstLine="420"/>
      </w:pPr>
      <w:r>
        <w:rPr>
          <w:rFonts w:hAnsi="宋体"/>
        </w:rPr>
        <w:t>在果树休眠期间，采取剪除病虫枝和病僵果，清除枯枝落叶、杂草，刮除树干翘裂皮和枝干病斑，集中烧毁或深埋，加强土肥水管理，合理修剪，适量留果以及果实套袋等措施防治病虫害。</w:t>
      </w:r>
    </w:p>
    <w:p>
      <w:pPr>
        <w:pStyle w:val="68"/>
        <w:spacing w:before="156" w:after="156"/>
      </w:pPr>
      <w:r>
        <w:rPr>
          <w:rFonts w:hAnsi="黑体"/>
        </w:rPr>
        <w:t>物理防治</w:t>
      </w:r>
    </w:p>
    <w:p>
      <w:pPr>
        <w:pStyle w:val="59"/>
        <w:ind w:firstLine="420"/>
      </w:pPr>
      <w:r>
        <w:rPr>
          <w:rFonts w:hAnsi="宋体"/>
        </w:rPr>
        <w:t>根据害虫生物学特性，从花后开始及时摘除虫苞</w:t>
      </w:r>
      <w:r>
        <w:t>,</w:t>
      </w:r>
      <w:r>
        <w:rPr>
          <w:rFonts w:hAnsi="宋体"/>
        </w:rPr>
        <w:t>防治卷叶虫类，用树干缠草绳和诱虫灯、糖醋液等方法诱杀害虫。</w:t>
      </w:r>
    </w:p>
    <w:p>
      <w:pPr>
        <w:pStyle w:val="97"/>
        <w:spacing w:before="156" w:after="156"/>
      </w:pPr>
      <w:r>
        <w:rPr>
          <w:rFonts w:hAnsi="黑体"/>
        </w:rPr>
        <w:t>生物防治</w:t>
      </w:r>
    </w:p>
    <w:p>
      <w:pPr>
        <w:pStyle w:val="59"/>
        <w:ind w:firstLine="420"/>
      </w:pPr>
      <w:r>
        <w:rPr>
          <w:rFonts w:hAnsi="宋体"/>
        </w:rPr>
        <w:t>释放赤眼蜂防治卷叶虫类，助迁和保护瓢虫、草蛉、捕食螨等天敌；土壤施用白僵菌防治桃小食心虫，利用昆虫性外激素诱杀或干扰成虫交配。</w:t>
      </w:r>
    </w:p>
    <w:p>
      <w:pPr>
        <w:pStyle w:val="68"/>
        <w:spacing w:before="156" w:after="156"/>
      </w:pPr>
      <w:r>
        <w:rPr>
          <w:rFonts w:hAnsi="黑体"/>
        </w:rPr>
        <w:t>化学防治</w:t>
      </w:r>
    </w:p>
    <w:p>
      <w:pPr>
        <w:pStyle w:val="59"/>
        <w:ind w:firstLine="420"/>
      </w:pPr>
      <w:r>
        <w:rPr>
          <w:rFonts w:hAnsi="宋体"/>
        </w:rPr>
        <w:t>使用化学农药时，按</w:t>
      </w:r>
      <w:r>
        <w:t>GB/T 8321</w:t>
      </w:r>
      <w:r>
        <w:rPr>
          <w:rFonts w:hAnsi="宋体"/>
        </w:rPr>
        <w:t>（所有部分）规定执行。</w:t>
      </w:r>
    </w:p>
    <w:p>
      <w:pPr>
        <w:pStyle w:val="107"/>
        <w:spacing w:before="312" w:after="312"/>
      </w:pPr>
      <w:bookmarkStart w:id="65" w:name="_Toc152159491"/>
      <w:bookmarkStart w:id="66" w:name="_Toc152145161"/>
      <w:bookmarkStart w:id="67" w:name="_Toc152076557"/>
      <w:r>
        <w:rPr>
          <w:rFonts w:hAnsi="黑体"/>
        </w:rPr>
        <w:t>采收</w:t>
      </w:r>
      <w:bookmarkEnd w:id="65"/>
      <w:bookmarkEnd w:id="66"/>
      <w:bookmarkEnd w:id="67"/>
    </w:p>
    <w:p>
      <w:pPr>
        <w:pStyle w:val="108"/>
        <w:spacing w:before="156" w:after="156"/>
        <w:ind w:left="0"/>
      </w:pPr>
      <w:bookmarkStart w:id="68" w:name="_Toc152145162"/>
      <w:bookmarkStart w:id="69" w:name="_Toc152076558"/>
      <w:bookmarkStart w:id="70" w:name="_Toc152159492"/>
      <w:r>
        <w:rPr>
          <w:rFonts w:hAnsi="黑体"/>
        </w:rPr>
        <w:t>采收时期</w:t>
      </w:r>
      <w:bookmarkEnd w:id="68"/>
      <w:bookmarkEnd w:id="69"/>
      <w:bookmarkEnd w:id="70"/>
    </w:p>
    <w:p>
      <w:pPr>
        <w:pStyle w:val="59"/>
        <w:ind w:firstLine="420"/>
      </w:pPr>
      <w:r>
        <w:rPr>
          <w:rFonts w:hAnsi="宋体"/>
        </w:rPr>
        <w:t>依据用途、销售途径适时采收。一般来说，用于远销或加工杏罐头、杏脯的果实，应在果实达到本品种的正常大小、形状，并已具有固有的色泽和风味，果肉仍保持一定硬度时，即一般所说的八成熟时采收为宜。用于鲜食的杏果，在当地市场销售时，应在充分成熟时采收。这时的果实外观、大小、品质和风味、香气均达到最佳状态，果肉由硬变软，也更为消费者所欢迎；如果运输条件稍差，或是远离市场，采收期则应稍提前。</w:t>
      </w:r>
    </w:p>
    <w:p>
      <w:pPr>
        <w:pStyle w:val="108"/>
        <w:spacing w:before="156" w:after="156"/>
        <w:ind w:left="0"/>
      </w:pPr>
      <w:bookmarkStart w:id="71" w:name="_Toc152145163"/>
      <w:bookmarkStart w:id="72" w:name="_Toc152159493"/>
      <w:bookmarkStart w:id="73" w:name="_Toc152076559"/>
      <w:r>
        <w:rPr>
          <w:rFonts w:hAnsi="黑体"/>
        </w:rPr>
        <w:t>采收方法</w:t>
      </w:r>
      <w:bookmarkEnd w:id="71"/>
      <w:bookmarkEnd w:id="72"/>
      <w:bookmarkEnd w:id="73"/>
    </w:p>
    <w:p>
      <w:pPr>
        <w:pStyle w:val="59"/>
        <w:ind w:firstLine="420"/>
      </w:pPr>
      <w:r>
        <w:rPr>
          <w:rFonts w:hAnsi="宋体"/>
        </w:rPr>
        <w:t>分期分批采收，先采冠上、冠外果，再采冠下、冠内果。</w:t>
      </w:r>
    </w:p>
    <w:p>
      <w:pPr>
        <w:pStyle w:val="107"/>
        <w:spacing w:before="312" w:after="312"/>
      </w:pPr>
      <w:bookmarkStart w:id="74" w:name="_Toc152159494"/>
      <w:bookmarkStart w:id="75" w:name="_Toc152145164"/>
      <w:bookmarkStart w:id="76" w:name="_Toc152076560"/>
      <w:r>
        <w:t>包装、标示、贮存和运输</w:t>
      </w:r>
      <w:bookmarkEnd w:id="74"/>
      <w:bookmarkEnd w:id="75"/>
      <w:bookmarkEnd w:id="76"/>
    </w:p>
    <w:p>
      <w:pPr>
        <w:pStyle w:val="108"/>
        <w:spacing w:before="156" w:after="156"/>
        <w:ind w:left="0"/>
      </w:pPr>
      <w:bookmarkStart w:id="77" w:name="_Toc152145165"/>
      <w:bookmarkStart w:id="78" w:name="_Toc152159495"/>
      <w:bookmarkStart w:id="79" w:name="_Toc152076561"/>
      <w:r>
        <w:rPr>
          <w:rFonts w:hAnsi="黑体"/>
        </w:rPr>
        <w:t>包装</w:t>
      </w:r>
      <w:bookmarkEnd w:id="77"/>
      <w:bookmarkEnd w:id="78"/>
      <w:bookmarkEnd w:id="79"/>
    </w:p>
    <w:p>
      <w:pPr>
        <w:pStyle w:val="59"/>
        <w:ind w:firstLine="420"/>
      </w:pPr>
      <w:r>
        <w:rPr>
          <w:rFonts w:hAnsi="宋体"/>
        </w:rPr>
        <w:t>少山红杏分一、二、三级，可采用纸箱包装。纸箱应坚固耐用，清洁卫生，干燥无异味，内外均无刺伤果实的尖突物，并有合适的通气孔，对产品具有良好的保护作用</w:t>
      </w:r>
      <w:r>
        <w:rPr>
          <w:rFonts w:hint="eastAsia"/>
        </w:rPr>
        <w:t>；</w:t>
      </w:r>
      <w:r>
        <w:rPr>
          <w:rFonts w:hAnsi="宋体"/>
        </w:rPr>
        <w:t>包装材料应无毒、无虫、无异味，不会污染果实。</w:t>
      </w:r>
    </w:p>
    <w:p>
      <w:pPr>
        <w:pStyle w:val="108"/>
        <w:spacing w:before="156" w:after="156"/>
        <w:ind w:left="0"/>
      </w:pPr>
      <w:bookmarkStart w:id="80" w:name="_Toc152159496"/>
      <w:bookmarkStart w:id="81" w:name="_Toc152145166"/>
      <w:bookmarkStart w:id="82" w:name="_Toc152076562"/>
      <w:r>
        <w:rPr>
          <w:rFonts w:hAnsi="黑体"/>
        </w:rPr>
        <w:t>标识</w:t>
      </w:r>
      <w:bookmarkEnd w:id="80"/>
      <w:bookmarkEnd w:id="81"/>
      <w:bookmarkEnd w:id="82"/>
    </w:p>
    <w:p>
      <w:pPr>
        <w:pStyle w:val="59"/>
        <w:ind w:firstLine="420"/>
      </w:pPr>
      <w:r>
        <w:rPr>
          <w:rFonts w:hAnsi="宋体"/>
        </w:rPr>
        <w:t>标签内容应包括产品名称、品种名称、商标、产品的标准编号、产地或生产单位、详细地址、规格包装日期等。标签上的字迹应清晰、完整、准确、易于理解。</w:t>
      </w:r>
    </w:p>
    <w:p>
      <w:pPr>
        <w:pStyle w:val="108"/>
        <w:spacing w:before="156" w:after="156"/>
        <w:ind w:left="0"/>
      </w:pPr>
      <w:bookmarkStart w:id="83" w:name="_Toc152145167"/>
      <w:bookmarkStart w:id="84" w:name="_Toc152159497"/>
      <w:bookmarkStart w:id="85" w:name="_Toc152076563"/>
      <w:r>
        <w:rPr>
          <w:rFonts w:hAnsi="黑体"/>
        </w:rPr>
        <w:t>贮存</w:t>
      </w:r>
      <w:bookmarkEnd w:id="83"/>
      <w:bookmarkEnd w:id="84"/>
      <w:bookmarkEnd w:id="85"/>
    </w:p>
    <w:p>
      <w:pPr>
        <w:pStyle w:val="59"/>
        <w:ind w:firstLine="420"/>
      </w:pPr>
      <w:r>
        <w:rPr>
          <w:rFonts w:hint="eastAsia" w:hAnsi="宋体"/>
        </w:rPr>
        <w:t>采用机械冷库或自然通风贮藏库。采用机械冷库时，应将采收果实马上送至冷库预冷，预冷温度为</w:t>
      </w:r>
      <w:r>
        <w:rPr>
          <w:rFonts w:hint="eastAsia"/>
        </w:rPr>
        <w:t xml:space="preserve">5 </w:t>
      </w:r>
      <w:r>
        <w:rPr>
          <w:rFonts w:hint="eastAsia" w:hAnsi="宋体"/>
        </w:rPr>
        <w:t>℃～</w:t>
      </w:r>
      <w:r>
        <w:rPr>
          <w:rFonts w:hint="eastAsia"/>
        </w:rPr>
        <w:t xml:space="preserve">8 </w:t>
      </w:r>
      <w:r>
        <w:rPr>
          <w:rFonts w:hint="eastAsia" w:hAnsi="宋体"/>
        </w:rPr>
        <w:t>℃</w:t>
      </w:r>
      <w:r>
        <w:rPr>
          <w:rFonts w:hint="eastAsia"/>
        </w:rPr>
        <w:t>；</w:t>
      </w:r>
      <w:r>
        <w:rPr>
          <w:rFonts w:hint="eastAsia" w:hAnsi="宋体"/>
        </w:rPr>
        <w:t>待果温降至</w:t>
      </w:r>
      <w:r>
        <w:rPr>
          <w:rFonts w:hint="eastAsia"/>
        </w:rPr>
        <w:t xml:space="preserve">8 </w:t>
      </w:r>
      <w:r>
        <w:rPr>
          <w:rFonts w:hint="eastAsia" w:hAnsi="宋体"/>
        </w:rPr>
        <w:t>℃以下后，再将库温调整为</w:t>
      </w:r>
      <w:r>
        <w:rPr>
          <w:rFonts w:hint="eastAsia"/>
        </w:rPr>
        <w:t xml:space="preserve">0 </w:t>
      </w:r>
      <w:r>
        <w:rPr>
          <w:rFonts w:hint="eastAsia" w:hAnsi="宋体"/>
        </w:rPr>
        <w:t>℃～</w:t>
      </w:r>
      <w:r>
        <w:rPr>
          <w:rFonts w:hint="eastAsia"/>
        </w:rPr>
        <w:t xml:space="preserve">2 </w:t>
      </w:r>
      <w:r>
        <w:rPr>
          <w:rFonts w:hint="eastAsia" w:hAnsi="宋体"/>
        </w:rPr>
        <w:t>℃，湿度</w:t>
      </w:r>
      <w:r>
        <w:rPr>
          <w:rFonts w:hint="eastAsia"/>
        </w:rPr>
        <w:t>85%</w:t>
      </w:r>
      <w:r>
        <w:rPr>
          <w:rFonts w:hint="eastAsia" w:hAnsi="宋体"/>
        </w:rPr>
        <w:t>左右。出库前</w:t>
      </w:r>
      <w:r>
        <w:rPr>
          <w:rFonts w:hint="eastAsia"/>
        </w:rPr>
        <w:t>1 d</w:t>
      </w:r>
      <w:r>
        <w:rPr>
          <w:rFonts w:hint="eastAsia" w:hAnsi="宋体"/>
        </w:rPr>
        <w:t>～</w:t>
      </w:r>
      <w:r>
        <w:rPr>
          <w:rFonts w:hint="eastAsia"/>
        </w:rPr>
        <w:t>2 d</w:t>
      </w:r>
      <w:r>
        <w:rPr>
          <w:rFonts w:hint="eastAsia" w:hAnsi="宋体"/>
        </w:rPr>
        <w:t>升温，与外界保持</w:t>
      </w:r>
      <w:r>
        <w:rPr>
          <w:rFonts w:hint="eastAsia"/>
        </w:rPr>
        <w:t xml:space="preserve">6 </w:t>
      </w:r>
      <w:r>
        <w:rPr>
          <w:rFonts w:hint="eastAsia" w:hAnsi="宋体"/>
        </w:rPr>
        <w:t>℃～</w:t>
      </w:r>
      <w:r>
        <w:rPr>
          <w:rFonts w:hint="eastAsia"/>
        </w:rPr>
        <w:t xml:space="preserve">8 </w:t>
      </w:r>
      <w:r>
        <w:rPr>
          <w:rFonts w:hint="eastAsia" w:hAnsi="宋体"/>
        </w:rPr>
        <w:t>℃的温差时出库。</w:t>
      </w:r>
    </w:p>
    <w:p>
      <w:pPr>
        <w:pStyle w:val="108"/>
        <w:spacing w:before="156" w:after="156"/>
        <w:ind w:left="0"/>
      </w:pPr>
      <w:bookmarkStart w:id="86" w:name="_Toc152076564"/>
      <w:bookmarkStart w:id="87" w:name="_Toc152159498"/>
      <w:bookmarkStart w:id="88" w:name="_Toc152145168"/>
      <w:r>
        <w:rPr>
          <w:rFonts w:hAnsi="黑体"/>
        </w:rPr>
        <w:t>运输</w:t>
      </w:r>
      <w:bookmarkEnd w:id="86"/>
      <w:bookmarkEnd w:id="87"/>
      <w:bookmarkEnd w:id="88"/>
    </w:p>
    <w:p>
      <w:pPr>
        <w:pStyle w:val="59"/>
        <w:ind w:firstLine="420"/>
      </w:pPr>
      <w:r>
        <w:rPr>
          <w:rFonts w:hAnsi="宋体"/>
        </w:rPr>
        <w:t>运输工具应清洁卫生，有防雨、防晒设施，不应与有毒、有异味等有害物品混装、混运。长途运输时宜使用具</w:t>
      </w:r>
      <w:r>
        <w:rPr>
          <w:rFonts w:hint="eastAsia" w:hAnsi="宋体"/>
        </w:rPr>
        <w:t>有</w:t>
      </w:r>
      <w:r>
        <w:rPr>
          <w:rFonts w:hAnsi="宋体"/>
        </w:rPr>
        <w:t>冷藏条件的工具。</w:t>
      </w:r>
    </w:p>
    <w:p>
      <w:pPr>
        <w:pStyle w:val="107"/>
        <w:spacing w:before="312" w:after="312"/>
      </w:pPr>
      <w:bookmarkStart w:id="89" w:name="_Toc152145169"/>
      <w:bookmarkStart w:id="90" w:name="_Toc152159499"/>
      <w:bookmarkStart w:id="91" w:name="_Toc152076565"/>
      <w:r>
        <w:t>生产档案</w:t>
      </w:r>
      <w:bookmarkEnd w:id="89"/>
      <w:bookmarkEnd w:id="90"/>
      <w:bookmarkEnd w:id="91"/>
    </w:p>
    <w:p>
      <w:pPr>
        <w:pStyle w:val="59"/>
        <w:ind w:firstLine="420"/>
      </w:pPr>
      <w:r>
        <w:rPr>
          <w:rFonts w:hAnsi="宋体"/>
        </w:rPr>
        <w:t>建立生产档案，对生产技术、病虫害防治和采收贮藏各环节所采取的主要措施进行详细记录，档案资料应保存</w:t>
      </w:r>
      <w:r>
        <w:t>2</w:t>
      </w:r>
      <w:r>
        <w:rPr>
          <w:rFonts w:hint="eastAsia" w:hAnsi="宋体"/>
        </w:rPr>
        <w:t>年</w:t>
      </w:r>
      <w:r>
        <w:rPr>
          <w:rFonts w:hAnsi="宋体"/>
        </w:rPr>
        <w:t>以上。</w:t>
      </w:r>
    </w:p>
    <w:p>
      <w:pPr>
        <w:pStyle w:val="59"/>
        <w:widowControl w:val="0"/>
        <w:spacing w:line="400" w:lineRule="exact"/>
        <w:ind w:firstLine="0" w:firstLineChars="0"/>
        <w:jc w:val="center"/>
        <w:rPr>
          <w:rFonts w:ascii="Times New Roman"/>
        </w:rPr>
      </w:pPr>
      <w:r>
        <w:drawing>
          <wp:inline distT="0" distB="0" distL="0" distR="0">
            <wp:extent cx="1487170" cy="318135"/>
            <wp:effectExtent l="0" t="0" r="17780" b="5715"/>
            <wp:docPr id="1" name="图片 1" descr="C:\Users\Administrator\AppData\Local\Temp\ksohtml\wps59FA.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ksohtml\wps59FA.tmp.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1487170" cy="318135"/>
                    </a:xfrm>
                    <a:prstGeom prst="rect">
                      <a:avLst/>
                    </a:prstGeom>
                    <a:noFill/>
                    <a:ln>
                      <a:noFill/>
                    </a:ln>
                  </pic:spPr>
                </pic:pic>
              </a:graphicData>
            </a:graphic>
          </wp:inline>
        </w:drawing>
      </w:r>
      <w:r>
        <w:rPr>
          <w:rFonts w:ascii="Times New Roman"/>
        </w:rPr>
        <w:t xml:space="preserve"> </w:t>
      </w:r>
    </w:p>
    <w:p>
      <w:pPr>
        <w:pStyle w:val="59"/>
        <w:ind w:firstLine="0" w:firstLineChars="0"/>
        <w:jc w:val="center"/>
      </w:pPr>
      <w:r>
        <w:rPr>
          <w:rFonts w:hint="eastAsia"/>
        </w:rPr>
        <w:t xml:space="preserve"> </w:t>
      </w:r>
    </w:p>
    <w:p>
      <w:pPr>
        <w:pStyle w:val="59"/>
        <w:ind w:firstLine="420"/>
      </w:pPr>
    </w:p>
    <w:p>
      <w:pPr>
        <w:pStyle w:val="59"/>
        <w:ind w:firstLine="420"/>
      </w:pPr>
    </w:p>
    <w:bookmarkEnd w:id="9"/>
    <w:p>
      <w:pPr>
        <w:pStyle w:val="59"/>
        <w:ind w:firstLine="420"/>
      </w:pPr>
    </w:p>
    <w:p>
      <w:pPr>
        <w:pStyle w:val="59"/>
        <w:ind w:firstLine="420"/>
      </w:pPr>
    </w:p>
    <w:p>
      <w:pPr>
        <w:pStyle w:val="59"/>
        <w:ind w:firstLine="0" w:firstLineChars="0"/>
        <w:jc w:val="center"/>
      </w:pPr>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27.1—2023 </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27.1—2023 </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27.1—2023 </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27.1—2023 </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 xml:space="preserve">DB3702/T 27.1—2023 </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 xml:space="preserve">DB3702/T 27.1—2023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pStyle w:val="242"/>
      <w:lvlText w:val="%2)"/>
      <w:lvlJc w:val="left"/>
      <w:pPr>
        <w:tabs>
          <w:tab w:val="left" w:pos="840"/>
        </w:tabs>
        <w:ind w:left="840" w:hanging="420"/>
      </w:pPr>
    </w:lvl>
    <w:lvl w:ilvl="2" w:tentative="0">
      <w:start w:val="1"/>
      <w:numFmt w:val="lowerRoman"/>
      <w:pStyle w:val="241"/>
      <w:lvlText w:val="%3."/>
      <w:lvlJc w:val="right"/>
      <w:pPr>
        <w:tabs>
          <w:tab w:val="left" w:pos="1260"/>
        </w:tabs>
        <w:ind w:left="1260" w:hanging="420"/>
      </w:pPr>
    </w:lvl>
    <w:lvl w:ilvl="3" w:tentative="0">
      <w:start w:val="1"/>
      <w:numFmt w:val="decimal"/>
      <w:pStyle w:val="24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426" w:firstLine="0"/>
      </w:pPr>
      <w:rPr>
        <w:rFonts w:hint="eastAsia" w:ascii="黑体" w:eastAsia="黑体"/>
        <w:b w:val="0"/>
        <w:i w:val="0"/>
        <w:sz w:val="21"/>
      </w:rPr>
    </w:lvl>
    <w:lvl w:ilvl="4" w:tentative="0">
      <w:start w:val="1"/>
      <w:numFmt w:val="decimal"/>
      <w:pStyle w:val="97"/>
      <w:suff w:val="nothing"/>
      <w:lvlText w:val="%1%2.%3.%4.%5　"/>
      <w:lvlJc w:val="left"/>
      <w:pPr>
        <w:ind w:left="71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kY2MwYmE3ZDUwYjVmNWZiMzc5YjM0OGE1OWQ3MmIifQ=="/>
  </w:docVars>
  <w:rsids>
    <w:rsidRoot w:val="00BF39FB"/>
    <w:rsid w:val="0000040A"/>
    <w:rsid w:val="00000A94"/>
    <w:rsid w:val="00001972"/>
    <w:rsid w:val="00001D9A"/>
    <w:rsid w:val="000021C4"/>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31D3"/>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732"/>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52C9"/>
    <w:rsid w:val="00190087"/>
    <w:rsid w:val="001913C4"/>
    <w:rsid w:val="0019348F"/>
    <w:rsid w:val="00193A07"/>
    <w:rsid w:val="00194C95"/>
    <w:rsid w:val="00195C34"/>
    <w:rsid w:val="00196EF5"/>
    <w:rsid w:val="001971A2"/>
    <w:rsid w:val="001A0F9C"/>
    <w:rsid w:val="001A1A53"/>
    <w:rsid w:val="001A234A"/>
    <w:rsid w:val="001A4CF3"/>
    <w:rsid w:val="001B06E8"/>
    <w:rsid w:val="001B0E4C"/>
    <w:rsid w:val="001B1971"/>
    <w:rsid w:val="001B71D0"/>
    <w:rsid w:val="001B71EE"/>
    <w:rsid w:val="001C04A8"/>
    <w:rsid w:val="001C2C03"/>
    <w:rsid w:val="001C40D0"/>
    <w:rsid w:val="001C42F7"/>
    <w:rsid w:val="001C49E5"/>
    <w:rsid w:val="001C680C"/>
    <w:rsid w:val="001C7FEA"/>
    <w:rsid w:val="001D0499"/>
    <w:rsid w:val="001D0BBE"/>
    <w:rsid w:val="001D0ED4"/>
    <w:rsid w:val="001D212F"/>
    <w:rsid w:val="001D29D7"/>
    <w:rsid w:val="001D2DE7"/>
    <w:rsid w:val="001D411C"/>
    <w:rsid w:val="001E09BD"/>
    <w:rsid w:val="001E1B6A"/>
    <w:rsid w:val="001E2484"/>
    <w:rsid w:val="001E3CC4"/>
    <w:rsid w:val="001E4882"/>
    <w:rsid w:val="001E73AB"/>
    <w:rsid w:val="001E798E"/>
    <w:rsid w:val="001F092D"/>
    <w:rsid w:val="001F143A"/>
    <w:rsid w:val="001F1585"/>
    <w:rsid w:val="001F1605"/>
    <w:rsid w:val="001F2508"/>
    <w:rsid w:val="001F4816"/>
    <w:rsid w:val="001F69B4"/>
    <w:rsid w:val="001F77C7"/>
    <w:rsid w:val="00200183"/>
    <w:rsid w:val="00200333"/>
    <w:rsid w:val="0020107D"/>
    <w:rsid w:val="00202AA4"/>
    <w:rsid w:val="002031F7"/>
    <w:rsid w:val="002040E6"/>
    <w:rsid w:val="0020527B"/>
    <w:rsid w:val="00205F2C"/>
    <w:rsid w:val="00206FF1"/>
    <w:rsid w:val="00210B15"/>
    <w:rsid w:val="002142EA"/>
    <w:rsid w:val="00215469"/>
    <w:rsid w:val="00216218"/>
    <w:rsid w:val="002204BB"/>
    <w:rsid w:val="00221B79"/>
    <w:rsid w:val="00221C6B"/>
    <w:rsid w:val="002253A1"/>
    <w:rsid w:val="00225CF8"/>
    <w:rsid w:val="0022794E"/>
    <w:rsid w:val="00233D64"/>
    <w:rsid w:val="0023482A"/>
    <w:rsid w:val="00235425"/>
    <w:rsid w:val="002359CB"/>
    <w:rsid w:val="00243540"/>
    <w:rsid w:val="0024497B"/>
    <w:rsid w:val="0024515B"/>
    <w:rsid w:val="00246021"/>
    <w:rsid w:val="0024666E"/>
    <w:rsid w:val="00247F52"/>
    <w:rsid w:val="00250B25"/>
    <w:rsid w:val="00250BBE"/>
    <w:rsid w:val="002515C2"/>
    <w:rsid w:val="0025194F"/>
    <w:rsid w:val="002536C5"/>
    <w:rsid w:val="002608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387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469"/>
    <w:rsid w:val="003A1582"/>
    <w:rsid w:val="003A4077"/>
    <w:rsid w:val="003B05C7"/>
    <w:rsid w:val="003B09AD"/>
    <w:rsid w:val="003B1F18"/>
    <w:rsid w:val="003B2A94"/>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477A"/>
    <w:rsid w:val="004167A3"/>
    <w:rsid w:val="00417EF4"/>
    <w:rsid w:val="00432DAA"/>
    <w:rsid w:val="00434305"/>
    <w:rsid w:val="00435DF7"/>
    <w:rsid w:val="004400CD"/>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CB9"/>
    <w:rsid w:val="004C1FBC"/>
    <w:rsid w:val="004C3F1D"/>
    <w:rsid w:val="004C458D"/>
    <w:rsid w:val="004C7556"/>
    <w:rsid w:val="004C7E8B"/>
    <w:rsid w:val="004C7E9D"/>
    <w:rsid w:val="004C7F67"/>
    <w:rsid w:val="004D076D"/>
    <w:rsid w:val="004D0EF1"/>
    <w:rsid w:val="004D2253"/>
    <w:rsid w:val="004D4406"/>
    <w:rsid w:val="004D7C42"/>
    <w:rsid w:val="004E004F"/>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13F0"/>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6934"/>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7C7"/>
    <w:rsid w:val="00773C1F"/>
    <w:rsid w:val="00774DA4"/>
    <w:rsid w:val="00776599"/>
    <w:rsid w:val="0078114B"/>
    <w:rsid w:val="00781DD2"/>
    <w:rsid w:val="00783ECF"/>
    <w:rsid w:val="0078413A"/>
    <w:rsid w:val="007931B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001"/>
    <w:rsid w:val="007D1352"/>
    <w:rsid w:val="007D2125"/>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3D5"/>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8F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C66"/>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1D72"/>
    <w:rsid w:val="00913CA9"/>
    <w:rsid w:val="009145AE"/>
    <w:rsid w:val="009146CE"/>
    <w:rsid w:val="00914CA7"/>
    <w:rsid w:val="00915C3E"/>
    <w:rsid w:val="009161A8"/>
    <w:rsid w:val="009245F5"/>
    <w:rsid w:val="009249EC"/>
    <w:rsid w:val="009273B3"/>
    <w:rsid w:val="009305B5"/>
    <w:rsid w:val="009429D5"/>
    <w:rsid w:val="00942BF1"/>
    <w:rsid w:val="0094384C"/>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7CCB"/>
    <w:rsid w:val="00A83D8D"/>
    <w:rsid w:val="00A8446B"/>
    <w:rsid w:val="00A8468D"/>
    <w:rsid w:val="00A8473F"/>
    <w:rsid w:val="00A862D6"/>
    <w:rsid w:val="00A8715E"/>
    <w:rsid w:val="00A9295B"/>
    <w:rsid w:val="00A93B09"/>
    <w:rsid w:val="00A952D7"/>
    <w:rsid w:val="00A95A2E"/>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F7B"/>
    <w:rsid w:val="00AF47C5"/>
    <w:rsid w:val="00AF5398"/>
    <w:rsid w:val="00AF5B4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3E47"/>
    <w:rsid w:val="00BB5F8F"/>
    <w:rsid w:val="00BB657A"/>
    <w:rsid w:val="00BC1A4E"/>
    <w:rsid w:val="00BC5DC7"/>
    <w:rsid w:val="00BC6B8B"/>
    <w:rsid w:val="00BC73D8"/>
    <w:rsid w:val="00BD1995"/>
    <w:rsid w:val="00BD52D7"/>
    <w:rsid w:val="00BD5AD2"/>
    <w:rsid w:val="00BE22F3"/>
    <w:rsid w:val="00BE306D"/>
    <w:rsid w:val="00BE5B52"/>
    <w:rsid w:val="00BE7B8D"/>
    <w:rsid w:val="00BF01D5"/>
    <w:rsid w:val="00BF0993"/>
    <w:rsid w:val="00BF0FBC"/>
    <w:rsid w:val="00BF10A9"/>
    <w:rsid w:val="00BF1703"/>
    <w:rsid w:val="00BF231C"/>
    <w:rsid w:val="00BF39FB"/>
    <w:rsid w:val="00BF51E5"/>
    <w:rsid w:val="00BF74A6"/>
    <w:rsid w:val="00C013AD"/>
    <w:rsid w:val="00C04904"/>
    <w:rsid w:val="00C056B3"/>
    <w:rsid w:val="00C103E5"/>
    <w:rsid w:val="00C13319"/>
    <w:rsid w:val="00C13EE9"/>
    <w:rsid w:val="00C155D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3333"/>
    <w:rsid w:val="00D352A2"/>
    <w:rsid w:val="00D4162B"/>
    <w:rsid w:val="00D4514F"/>
    <w:rsid w:val="00D451E2"/>
    <w:rsid w:val="00D45E89"/>
    <w:rsid w:val="00D45E8D"/>
    <w:rsid w:val="00D466AE"/>
    <w:rsid w:val="00D4734F"/>
    <w:rsid w:val="00D51BF3"/>
    <w:rsid w:val="00D53653"/>
    <w:rsid w:val="00D66846"/>
    <w:rsid w:val="00D675FB"/>
    <w:rsid w:val="00D70D0C"/>
    <w:rsid w:val="00D71F25"/>
    <w:rsid w:val="00D72A9C"/>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91"/>
    <w:rsid w:val="00DC5B90"/>
    <w:rsid w:val="00DC697A"/>
    <w:rsid w:val="00DD00FF"/>
    <w:rsid w:val="00DD0619"/>
    <w:rsid w:val="00DD07FB"/>
    <w:rsid w:val="00DD1BD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79"/>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4E2"/>
    <w:rsid w:val="00E56800"/>
    <w:rsid w:val="00E60C63"/>
    <w:rsid w:val="00E62FF9"/>
    <w:rsid w:val="00E635D6"/>
    <w:rsid w:val="00E639BC"/>
    <w:rsid w:val="00E654C9"/>
    <w:rsid w:val="00E664CC"/>
    <w:rsid w:val="00E70388"/>
    <w:rsid w:val="00E70F92"/>
    <w:rsid w:val="00E74097"/>
    <w:rsid w:val="00E74C54"/>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984"/>
    <w:rsid w:val="00F71E22"/>
    <w:rsid w:val="00F72142"/>
    <w:rsid w:val="00F72AE7"/>
    <w:rsid w:val="00F8137F"/>
    <w:rsid w:val="00F81FC7"/>
    <w:rsid w:val="00F833BA"/>
    <w:rsid w:val="00F84FD0"/>
    <w:rsid w:val="00F859A8"/>
    <w:rsid w:val="00F86D87"/>
    <w:rsid w:val="00F879C4"/>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575"/>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500264"/>
    <w:rsid w:val="017F6F57"/>
    <w:rsid w:val="01D46B46"/>
    <w:rsid w:val="0215553E"/>
    <w:rsid w:val="02BA6745"/>
    <w:rsid w:val="03324730"/>
    <w:rsid w:val="0461566D"/>
    <w:rsid w:val="048221D3"/>
    <w:rsid w:val="051E0804"/>
    <w:rsid w:val="05A451BC"/>
    <w:rsid w:val="05FE4192"/>
    <w:rsid w:val="06224324"/>
    <w:rsid w:val="06733871"/>
    <w:rsid w:val="06964C86"/>
    <w:rsid w:val="06E520C9"/>
    <w:rsid w:val="076B1CFB"/>
    <w:rsid w:val="07DE24CD"/>
    <w:rsid w:val="08151D38"/>
    <w:rsid w:val="087D61BE"/>
    <w:rsid w:val="092D5890"/>
    <w:rsid w:val="095E38C5"/>
    <w:rsid w:val="09AD65FB"/>
    <w:rsid w:val="0A0A75A9"/>
    <w:rsid w:val="0A0D3B9D"/>
    <w:rsid w:val="0AB05605"/>
    <w:rsid w:val="0B117723"/>
    <w:rsid w:val="0C5D3248"/>
    <w:rsid w:val="0CCC51F6"/>
    <w:rsid w:val="0D266260"/>
    <w:rsid w:val="0D653929"/>
    <w:rsid w:val="0D9F5085"/>
    <w:rsid w:val="0DC83A03"/>
    <w:rsid w:val="0E6574A4"/>
    <w:rsid w:val="103F3D25"/>
    <w:rsid w:val="104135F9"/>
    <w:rsid w:val="10B97633"/>
    <w:rsid w:val="10FE0FAC"/>
    <w:rsid w:val="11641C95"/>
    <w:rsid w:val="12061235"/>
    <w:rsid w:val="123F59E2"/>
    <w:rsid w:val="12A9319D"/>
    <w:rsid w:val="12C66037"/>
    <w:rsid w:val="131B695B"/>
    <w:rsid w:val="134E1CE9"/>
    <w:rsid w:val="13BB1914"/>
    <w:rsid w:val="13FA0AFC"/>
    <w:rsid w:val="14110BE4"/>
    <w:rsid w:val="14344857"/>
    <w:rsid w:val="144162BD"/>
    <w:rsid w:val="145A112D"/>
    <w:rsid w:val="158A3CEC"/>
    <w:rsid w:val="16020017"/>
    <w:rsid w:val="16DE7DF3"/>
    <w:rsid w:val="172B1350"/>
    <w:rsid w:val="175E104C"/>
    <w:rsid w:val="184130BA"/>
    <w:rsid w:val="186856E8"/>
    <w:rsid w:val="19263CD4"/>
    <w:rsid w:val="196B5A91"/>
    <w:rsid w:val="19766A09"/>
    <w:rsid w:val="1A78055F"/>
    <w:rsid w:val="1ABA46D4"/>
    <w:rsid w:val="1B562590"/>
    <w:rsid w:val="1BF260EF"/>
    <w:rsid w:val="1C3D380E"/>
    <w:rsid w:val="1C4E1577"/>
    <w:rsid w:val="1C760ACE"/>
    <w:rsid w:val="1D222AA8"/>
    <w:rsid w:val="1D5C1A72"/>
    <w:rsid w:val="1D60136F"/>
    <w:rsid w:val="1DC60BA9"/>
    <w:rsid w:val="1E37603B"/>
    <w:rsid w:val="1E6C7CDF"/>
    <w:rsid w:val="1F372797"/>
    <w:rsid w:val="1F3C3740"/>
    <w:rsid w:val="1F433DD7"/>
    <w:rsid w:val="1F9522B8"/>
    <w:rsid w:val="200C01F2"/>
    <w:rsid w:val="20C50021"/>
    <w:rsid w:val="22FE5379"/>
    <w:rsid w:val="239418A4"/>
    <w:rsid w:val="243527F7"/>
    <w:rsid w:val="24577437"/>
    <w:rsid w:val="24996B44"/>
    <w:rsid w:val="24F44C86"/>
    <w:rsid w:val="258234CB"/>
    <w:rsid w:val="25C40AFC"/>
    <w:rsid w:val="26046966"/>
    <w:rsid w:val="26084E8D"/>
    <w:rsid w:val="2767173F"/>
    <w:rsid w:val="27AD32DF"/>
    <w:rsid w:val="28A03797"/>
    <w:rsid w:val="294A4E31"/>
    <w:rsid w:val="29513542"/>
    <w:rsid w:val="297665B1"/>
    <w:rsid w:val="29883BEF"/>
    <w:rsid w:val="2ACE1AD5"/>
    <w:rsid w:val="2B1E6BBA"/>
    <w:rsid w:val="2B517862"/>
    <w:rsid w:val="2B863EAA"/>
    <w:rsid w:val="2BC000DB"/>
    <w:rsid w:val="2C9108C8"/>
    <w:rsid w:val="2D9439C4"/>
    <w:rsid w:val="2E0F444E"/>
    <w:rsid w:val="2E840E29"/>
    <w:rsid w:val="2ECE1DDB"/>
    <w:rsid w:val="2F0D7070"/>
    <w:rsid w:val="2F875074"/>
    <w:rsid w:val="2F8A6913"/>
    <w:rsid w:val="306A4AD7"/>
    <w:rsid w:val="308415B4"/>
    <w:rsid w:val="30BF25EC"/>
    <w:rsid w:val="30E30912"/>
    <w:rsid w:val="31973569"/>
    <w:rsid w:val="31D40319"/>
    <w:rsid w:val="31DA13FA"/>
    <w:rsid w:val="32901C31"/>
    <w:rsid w:val="335607FA"/>
    <w:rsid w:val="337F7039"/>
    <w:rsid w:val="33AF6F27"/>
    <w:rsid w:val="33C5689E"/>
    <w:rsid w:val="34056568"/>
    <w:rsid w:val="342A2472"/>
    <w:rsid w:val="342D5900"/>
    <w:rsid w:val="34DD74E5"/>
    <w:rsid w:val="355F19D4"/>
    <w:rsid w:val="355F614C"/>
    <w:rsid w:val="356E45E1"/>
    <w:rsid w:val="35E222F5"/>
    <w:rsid w:val="36552BBE"/>
    <w:rsid w:val="368246D8"/>
    <w:rsid w:val="368C1A89"/>
    <w:rsid w:val="373553B6"/>
    <w:rsid w:val="385233AE"/>
    <w:rsid w:val="39EE297C"/>
    <w:rsid w:val="3A830B2E"/>
    <w:rsid w:val="3ABB2076"/>
    <w:rsid w:val="3AE47002"/>
    <w:rsid w:val="3BF00B5F"/>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2A09AE"/>
    <w:rsid w:val="424661AA"/>
    <w:rsid w:val="43007E40"/>
    <w:rsid w:val="431F7ADB"/>
    <w:rsid w:val="433B1522"/>
    <w:rsid w:val="44315F91"/>
    <w:rsid w:val="44EF30CB"/>
    <w:rsid w:val="45B253DB"/>
    <w:rsid w:val="46783463"/>
    <w:rsid w:val="467B090B"/>
    <w:rsid w:val="47441F5C"/>
    <w:rsid w:val="47D267E3"/>
    <w:rsid w:val="481A5F1F"/>
    <w:rsid w:val="49617E81"/>
    <w:rsid w:val="49E60792"/>
    <w:rsid w:val="4A8F4985"/>
    <w:rsid w:val="4ABB0804"/>
    <w:rsid w:val="4AFA2747"/>
    <w:rsid w:val="4B124C8E"/>
    <w:rsid w:val="4B206C58"/>
    <w:rsid w:val="4B390D05"/>
    <w:rsid w:val="4B3D0935"/>
    <w:rsid w:val="4B4C2907"/>
    <w:rsid w:val="4B6E6C91"/>
    <w:rsid w:val="4BCE14DD"/>
    <w:rsid w:val="4BF076A6"/>
    <w:rsid w:val="4BF453E8"/>
    <w:rsid w:val="4C675BBA"/>
    <w:rsid w:val="4C78451C"/>
    <w:rsid w:val="4CD60F91"/>
    <w:rsid w:val="4CFB4554"/>
    <w:rsid w:val="4D5F23B7"/>
    <w:rsid w:val="4E2B665F"/>
    <w:rsid w:val="4E516060"/>
    <w:rsid w:val="4E610F96"/>
    <w:rsid w:val="4EB33338"/>
    <w:rsid w:val="4FBC446F"/>
    <w:rsid w:val="4FE03F65"/>
    <w:rsid w:val="500D27C2"/>
    <w:rsid w:val="50331C8F"/>
    <w:rsid w:val="50C811EA"/>
    <w:rsid w:val="50EB2B26"/>
    <w:rsid w:val="514E10F6"/>
    <w:rsid w:val="51A60F32"/>
    <w:rsid w:val="51B63B64"/>
    <w:rsid w:val="52342D13"/>
    <w:rsid w:val="525C6372"/>
    <w:rsid w:val="536F35A6"/>
    <w:rsid w:val="53C5766A"/>
    <w:rsid w:val="53EA138C"/>
    <w:rsid w:val="54A10FD2"/>
    <w:rsid w:val="55331E7E"/>
    <w:rsid w:val="565F5B54"/>
    <w:rsid w:val="56674A08"/>
    <w:rsid w:val="569F23F4"/>
    <w:rsid w:val="5744502C"/>
    <w:rsid w:val="576E3461"/>
    <w:rsid w:val="587358E6"/>
    <w:rsid w:val="58E80837"/>
    <w:rsid w:val="59DB4E4A"/>
    <w:rsid w:val="5A3E3201"/>
    <w:rsid w:val="5A9102A6"/>
    <w:rsid w:val="5B4873E3"/>
    <w:rsid w:val="5BDA5F42"/>
    <w:rsid w:val="5C0813D3"/>
    <w:rsid w:val="5CBF396D"/>
    <w:rsid w:val="5CED3EB9"/>
    <w:rsid w:val="5D437F7D"/>
    <w:rsid w:val="5FAF36A8"/>
    <w:rsid w:val="60065292"/>
    <w:rsid w:val="605B3830"/>
    <w:rsid w:val="60A72DA9"/>
    <w:rsid w:val="60C154CE"/>
    <w:rsid w:val="60E05AE3"/>
    <w:rsid w:val="61AB0DDF"/>
    <w:rsid w:val="61C24D65"/>
    <w:rsid w:val="62355D6F"/>
    <w:rsid w:val="62775FD3"/>
    <w:rsid w:val="62DE3340"/>
    <w:rsid w:val="630510AE"/>
    <w:rsid w:val="634C56B2"/>
    <w:rsid w:val="640F3A2E"/>
    <w:rsid w:val="64122457"/>
    <w:rsid w:val="64690D16"/>
    <w:rsid w:val="64D4770D"/>
    <w:rsid w:val="67024A05"/>
    <w:rsid w:val="675E7762"/>
    <w:rsid w:val="677C77DF"/>
    <w:rsid w:val="67D0783D"/>
    <w:rsid w:val="685A617B"/>
    <w:rsid w:val="689B6EBF"/>
    <w:rsid w:val="690A194F"/>
    <w:rsid w:val="69156A22"/>
    <w:rsid w:val="69ED7A4E"/>
    <w:rsid w:val="6A745C1A"/>
    <w:rsid w:val="6A802D7F"/>
    <w:rsid w:val="6AA638F9"/>
    <w:rsid w:val="6AE10DD5"/>
    <w:rsid w:val="6BC51FA8"/>
    <w:rsid w:val="6BED307E"/>
    <w:rsid w:val="6BEE7A07"/>
    <w:rsid w:val="6C195936"/>
    <w:rsid w:val="6C631022"/>
    <w:rsid w:val="6C6B1D2E"/>
    <w:rsid w:val="6C820453"/>
    <w:rsid w:val="6D0B213A"/>
    <w:rsid w:val="6D1F0A51"/>
    <w:rsid w:val="6D2D79C5"/>
    <w:rsid w:val="6D535D71"/>
    <w:rsid w:val="6DA04F3A"/>
    <w:rsid w:val="6EA91C0A"/>
    <w:rsid w:val="6F71097A"/>
    <w:rsid w:val="6FE335DA"/>
    <w:rsid w:val="6FEF7AF1"/>
    <w:rsid w:val="706A53C9"/>
    <w:rsid w:val="70B67E72"/>
    <w:rsid w:val="71085B58"/>
    <w:rsid w:val="71614A1E"/>
    <w:rsid w:val="71AA1F21"/>
    <w:rsid w:val="71CD79BE"/>
    <w:rsid w:val="72D67739"/>
    <w:rsid w:val="74213802"/>
    <w:rsid w:val="74844CAB"/>
    <w:rsid w:val="74EC2ED5"/>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A0242A"/>
    <w:rsid w:val="7DB36E05"/>
    <w:rsid w:val="7DDB2289"/>
    <w:rsid w:val="7E16408E"/>
    <w:rsid w:val="7E3471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53"/>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5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rFonts w:ascii="Times New Roman" w:hAnsi="Times New Roman" w:eastAsia="宋体" w:cs="Times New Roman"/>
      <w:b/>
      <w:bCs/>
      <w:kern w:val="44"/>
      <w:sz w:val="44"/>
      <w:szCs w:val="44"/>
    </w:rPr>
  </w:style>
  <w:style w:type="character" w:customStyle="1" w:styleId="38">
    <w:name w:val="标题 2 Char"/>
    <w:link w:val="3"/>
    <w:qFormat/>
    <w:uiPriority w:val="0"/>
    <w:rPr>
      <w:rFonts w:ascii="Arial" w:hAnsi="Arial" w:eastAsia="黑体" w:cs="Times New Roman"/>
      <w:b/>
      <w:bCs/>
      <w:sz w:val="32"/>
      <w:szCs w:val="32"/>
    </w:rPr>
  </w:style>
  <w:style w:type="character" w:customStyle="1" w:styleId="39">
    <w:name w:val="标题 3 Char"/>
    <w:link w:val="4"/>
    <w:qFormat/>
    <w:uiPriority w:val="0"/>
    <w:rPr>
      <w:rFonts w:ascii="Times New Roman" w:hAnsi="Times New Roman" w:eastAsia="宋体" w:cs="Times New Roman"/>
      <w:b/>
      <w:bCs/>
      <w:sz w:val="32"/>
      <w:szCs w:val="32"/>
    </w:rPr>
  </w:style>
  <w:style w:type="character" w:customStyle="1" w:styleId="40">
    <w:name w:val="标题 4 Char"/>
    <w:link w:val="5"/>
    <w:qFormat/>
    <w:uiPriority w:val="0"/>
    <w:rPr>
      <w:rFonts w:ascii="Arial" w:hAnsi="Arial" w:eastAsia="黑体" w:cs="Times New Roman"/>
      <w:b/>
      <w:bCs/>
      <w:sz w:val="28"/>
      <w:szCs w:val="28"/>
    </w:rPr>
  </w:style>
  <w:style w:type="character" w:customStyle="1" w:styleId="41">
    <w:name w:val="标题 5 Char"/>
    <w:link w:val="6"/>
    <w:qFormat/>
    <w:uiPriority w:val="0"/>
    <w:rPr>
      <w:rFonts w:ascii="Times New Roman" w:hAnsi="Times New Roman" w:eastAsia="宋体" w:cs="Times New Roman"/>
      <w:b/>
      <w:bCs/>
      <w:sz w:val="28"/>
      <w:szCs w:val="28"/>
    </w:rPr>
  </w:style>
  <w:style w:type="character" w:customStyle="1" w:styleId="42">
    <w:name w:val="标题 6 Char"/>
    <w:link w:val="7"/>
    <w:qFormat/>
    <w:uiPriority w:val="0"/>
    <w:rPr>
      <w:rFonts w:ascii="Arial" w:hAnsi="Arial" w:eastAsia="黑体" w:cs="Times New Roman"/>
      <w:b/>
      <w:bCs/>
      <w:sz w:val="24"/>
      <w:szCs w:val="24"/>
    </w:rPr>
  </w:style>
  <w:style w:type="character" w:customStyle="1" w:styleId="43">
    <w:name w:val="标题 7 Char"/>
    <w:link w:val="8"/>
    <w:qFormat/>
    <w:uiPriority w:val="0"/>
    <w:rPr>
      <w:rFonts w:ascii="Times New Roman" w:hAnsi="Times New Roman" w:eastAsia="宋体" w:cs="Times New Roman"/>
      <w:b/>
      <w:bCs/>
      <w:sz w:val="24"/>
      <w:szCs w:val="24"/>
    </w:rPr>
  </w:style>
  <w:style w:type="character" w:customStyle="1" w:styleId="44">
    <w:name w:val="标题 8 Char"/>
    <w:link w:val="9"/>
    <w:qFormat/>
    <w:uiPriority w:val="0"/>
    <w:rPr>
      <w:rFonts w:ascii="Arial" w:hAnsi="Arial" w:eastAsia="黑体" w:cs="Times New Roman"/>
      <w:sz w:val="24"/>
      <w:szCs w:val="24"/>
    </w:rPr>
  </w:style>
  <w:style w:type="character" w:customStyle="1" w:styleId="45">
    <w:name w:val="标题 9 Char"/>
    <w:link w:val="10"/>
    <w:qFormat/>
    <w:uiPriority w:val="0"/>
    <w:rPr>
      <w:rFonts w:ascii="Arial" w:hAnsi="Arial" w:eastAsia="黑体" w:cs="Times New Roman"/>
      <w:szCs w:val="21"/>
    </w:rPr>
  </w:style>
  <w:style w:type="character" w:customStyle="1" w:styleId="46">
    <w:name w:val="页眉 Char"/>
    <w:link w:val="19"/>
    <w:qFormat/>
    <w:uiPriority w:val="99"/>
    <w:rPr>
      <w:rFonts w:ascii="Times New Roman" w:hAnsi="Times New Roman" w:eastAsia="宋体" w:cs="Times New Roman"/>
      <w:sz w:val="18"/>
      <w:szCs w:val="18"/>
    </w:rPr>
  </w:style>
  <w:style w:type="character" w:customStyle="1" w:styleId="47">
    <w:name w:val="页脚 Char"/>
    <w:link w:val="18"/>
    <w:qFormat/>
    <w:uiPriority w:val="99"/>
    <w:rPr>
      <w:rFonts w:ascii="宋体" w:hAnsi="Times New Roman" w:eastAsia="宋体" w:cs="Times New Roman"/>
      <w:sz w:val="18"/>
      <w:szCs w:val="18"/>
    </w:rPr>
  </w:style>
  <w:style w:type="character" w:customStyle="1" w:styleId="48">
    <w:name w:val="批注框文本 Char"/>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rPr>
  </w:style>
  <w:style w:type="character" w:customStyle="1" w:styleId="51">
    <w:name w:val="标题 Char"/>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link w:val="251"/>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ind w:left="0"/>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ind w:left="1276"/>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link w:val="250"/>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ind w:left="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wrap="around"/>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段 Char"/>
    <w:link w:val="234"/>
    <w:qFormat/>
    <w:uiPriority w:val="0"/>
    <w:rPr>
      <w:rFonts w:ascii="宋体"/>
      <w:sz w:val="21"/>
    </w:rPr>
  </w:style>
  <w:style w:type="paragraph" w:customStyle="1" w:styleId="234">
    <w:name w:val="段"/>
    <w:link w:val="233"/>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5">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6">
    <w:name w:val="附录标识"/>
    <w:basedOn w:val="1"/>
    <w:next w:val="234"/>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7">
    <w:name w:val="附录章标题"/>
    <w:next w:val="234"/>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8">
    <w:name w:val="附录表标号"/>
    <w:basedOn w:val="1"/>
    <w:next w:val="234"/>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9">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40">
    <w:name w:val="三级条标题"/>
    <w:basedOn w:val="241"/>
    <w:next w:val="234"/>
    <w:qFormat/>
    <w:uiPriority w:val="0"/>
    <w:pPr>
      <w:numPr>
        <w:ilvl w:val="3"/>
      </w:numPr>
      <w:tabs>
        <w:tab w:val="left" w:pos="840"/>
      </w:tabs>
      <w:outlineLvl w:val="4"/>
    </w:pPr>
  </w:style>
  <w:style w:type="paragraph" w:customStyle="1" w:styleId="241">
    <w:name w:val="二级条标题"/>
    <w:basedOn w:val="242"/>
    <w:next w:val="234"/>
    <w:qFormat/>
    <w:uiPriority w:val="0"/>
    <w:pPr>
      <w:numPr>
        <w:ilvl w:val="2"/>
      </w:numPr>
      <w:tabs>
        <w:tab w:val="left" w:pos="840"/>
      </w:tabs>
      <w:spacing w:before="50" w:after="50"/>
      <w:outlineLvl w:val="3"/>
    </w:pPr>
  </w:style>
  <w:style w:type="paragraph" w:customStyle="1" w:styleId="242">
    <w:name w:val="一级条标题"/>
    <w:next w:val="234"/>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3">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4">
    <w:name w:val="章标题"/>
    <w:next w:val="234"/>
    <w:qFormat/>
    <w:uiPriority w:val="0"/>
    <w:pPr>
      <w:tabs>
        <w:tab w:val="left" w:pos="823"/>
      </w:tabs>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45">
    <w:name w:val="一级无"/>
    <w:basedOn w:val="242"/>
    <w:qFormat/>
    <w:uiPriority w:val="0"/>
    <w:pPr>
      <w:spacing w:before="0" w:beforeLines="0" w:after="0" w:afterLines="0"/>
    </w:pPr>
    <w:rPr>
      <w:rFonts w:ascii="宋体" w:eastAsia="宋体"/>
    </w:rPr>
  </w:style>
  <w:style w:type="paragraph" w:customStyle="1" w:styleId="246">
    <w:name w:val="目次、标准名称标题"/>
    <w:basedOn w:val="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7">
    <w:name w:val="前言、引言标题"/>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250">
    <w:name w:val="二级无标题条 Char"/>
    <w:link w:val="121"/>
    <w:qFormat/>
    <w:uiPriority w:val="0"/>
    <w:rPr>
      <w:rFonts w:ascii="宋体" w:hAnsi="宋体"/>
      <w:szCs w:val="24"/>
    </w:rPr>
  </w:style>
  <w:style w:type="character" w:customStyle="1" w:styleId="251">
    <w:name w:val="标准文件_标准正文 Char"/>
    <w:link w:val="58"/>
    <w:qFormat/>
    <w:uiPriority w:val="0"/>
    <w:rPr>
      <w:kern w:val="0"/>
    </w:rPr>
  </w:style>
  <w:style w:type="table" w:customStyle="1" w:styleId="252">
    <w:name w:val="网格型1"/>
    <w:basedOn w:val="28"/>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253">
    <w:name w:val="批注文字 Char"/>
    <w:basedOn w:val="30"/>
    <w:link w:val="13"/>
    <w:semiHidden/>
    <w:qFormat/>
    <w:uiPriority w:val="99"/>
    <w:rPr>
      <w:rFonts w:ascii="Calibri" w:hAnsi="Calibri"/>
      <w:kern w:val="2"/>
      <w:sz w:val="21"/>
      <w:szCs w:val="21"/>
    </w:rPr>
  </w:style>
  <w:style w:type="character" w:customStyle="1" w:styleId="254">
    <w:name w:val="批注主题 Char"/>
    <w:basedOn w:val="253"/>
    <w:link w:val="27"/>
    <w:semiHidden/>
    <w:qFormat/>
    <w:uiPriority w:val="99"/>
    <w:rPr>
      <w:rFonts w:ascii="Calibri" w:hAnsi="Calibri"/>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pn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9c032df-24dc-4c71-bb74-303bc80a8abd}"/>
        <w:style w:val=""/>
        <w:category>
          <w:name w:val="常规"/>
          <w:gallery w:val="placeholder"/>
        </w:category>
        <w:types>
          <w:type w:val="bbPlcHdr"/>
        </w:types>
        <w:behaviors>
          <w:behavior w:val="content"/>
        </w:behaviors>
        <w:description w:val=""/>
        <w:guid w:val="{69C032DF-24DC-4C71-BB74-303BC80A8ABD}"/>
      </w:docPartPr>
      <w:docPartBody>
        <w:p>
          <w:pPr>
            <w:pStyle w:val="24"/>
          </w:pPr>
          <w:r>
            <w:rPr>
              <w:rStyle w:val="5"/>
              <w:rFonts w:hint="eastAsia"/>
            </w:rPr>
            <w:t>单击或点击此处输入文字。</w:t>
          </w:r>
        </w:p>
      </w:docPartBody>
    </w:docPart>
    <w:docPart>
      <w:docPartPr>
        <w:name w:val="{3fbcc09c-ac73-4c66-a4c6-6dd59cd3c20d}"/>
        <w:style w:val=""/>
        <w:category>
          <w:name w:val="常规"/>
          <w:gallery w:val="placeholder"/>
        </w:category>
        <w:types>
          <w:type w:val="bbPlcHdr"/>
        </w:types>
        <w:behaviors>
          <w:behavior w:val="content"/>
        </w:behaviors>
        <w:description w:val=""/>
        <w:guid w:val="{3FBCC09C-AC73-4C66-A4C6-6DD59CD3C20D}"/>
      </w:docPartPr>
      <w:docPartBody>
        <w:p>
          <w:pPr>
            <w:pStyle w:val="25"/>
          </w:pPr>
          <w:r>
            <w:rPr>
              <w:rStyle w:val="5"/>
              <w:rFonts w:hint="eastAsia"/>
            </w:rPr>
            <w:t>选择一项。</w:t>
          </w:r>
        </w:p>
      </w:docPartBody>
    </w:docPart>
    <w:docPart>
      <w:docPartPr>
        <w:name w:val="{c45cc695-d3b3-47de-b2d3-e6a20644fafd}"/>
        <w:style w:val=""/>
        <w:category>
          <w:name w:val="常规"/>
          <w:gallery w:val="placeholder"/>
        </w:category>
        <w:types>
          <w:type w:val="bbPlcHdr"/>
        </w:types>
        <w:behaviors>
          <w:behavior w:val="content"/>
        </w:behaviors>
        <w:description w:val=""/>
        <w:guid w:val="{C45CC695-D3B3-47DE-B2D3-E6A20644FAFD}"/>
      </w:docPartPr>
      <w:docPartBody>
        <w:p>
          <w:pPr>
            <w:pStyle w:val="26"/>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D404DE"/>
    <w:rsid w:val="008131D4"/>
    <w:rsid w:val="00835272"/>
    <w:rsid w:val="00990C67"/>
    <w:rsid w:val="00BD765E"/>
    <w:rsid w:val="00D14147"/>
    <w:rsid w:val="00D404DE"/>
    <w:rsid w:val="00D41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152599BAA7EB46738D2F34CC4014C03F"/>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26A5FABEB3E45AFB682D2C29F3C9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9E7BC5791DD494FA3D51BF6BA0F80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8FC537AD20943D992D9F7E32AF039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E2D1D7C77DC439BBFFE0F628F9F045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4D46B067434C46DB8D35F1387EB9C5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E5F9D183077E4AB092066058C03B36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3AE9F883FBC04329AA6350BF682B5E8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1A5F4642CB664B02ABF1FAD806EB10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F97CDB88D7AD43C895AF5715B092EC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7CE2C574A581456187EAEC25DE4F0F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3C660B8C78D243DBB6673B91D4D15C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7265DC5D462C4457A98A766540F2B9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B8E1BF5378594504AC2368D20AABAA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7435D6860BC84FC5867F50385878BA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41C8868B6C134DE6AD7760BF404A55A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A50583DB6CD84933937DA18C25B9AA0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75987AB576342F4868CE7187D9428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B1A18321A94243229F9B2FDAC9A415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873E18FB6C324533B6967D451DC59E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8A265963B8C64E1188C4F4A7BA3935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C0B5524B1359464DBA6F03719898C07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14B12A-9213-4B58-967A-018C025E60D4}">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1370</Words>
  <Characters>7811</Characters>
  <Lines>65</Lines>
  <Paragraphs>18</Paragraphs>
  <TotalTime>184</TotalTime>
  <ScaleCrop>false</ScaleCrop>
  <LinksUpToDate>false</LinksUpToDate>
  <CharactersWithSpaces>9163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许</cp:lastModifiedBy>
  <cp:lastPrinted>2021-01-11T08:47:00Z</cp:lastPrinted>
  <dcterms:modified xsi:type="dcterms:W3CDTF">2023-12-08T02:49:00Z</dcterms:modified>
  <dc:title>地方标准</dc:title>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495372962BA84E4081EFBDA52FA9E90C_13</vt:lpwstr>
  </property>
  <property fmtid="{D5CDD505-2E9C-101B-9397-08002B2CF9AE}" pid="16" name="DoublePage">
    <vt:lpwstr>true</vt:lpwstr>
  </property>
</Properties>
</file>