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B</w:t>
            </w:r>
            <w:r>
              <w:rPr>
                <w:rFonts w:ascii="黑体" w:hAnsi="黑体" w:eastAsia="黑体"/>
                <w:sz w:val="21"/>
                <w:szCs w:val="21"/>
              </w:rPr>
              <w:fldChar w:fldCharType="end"/>
            </w:r>
            <w:bookmarkEnd w:id="0"/>
            <w:r>
              <w:rPr>
                <w:rFonts w:hint="eastAsia" w:ascii="黑体" w:hAnsi="黑体" w:eastAsia="黑体"/>
                <w:sz w:val="21"/>
                <w:szCs w:val="21"/>
              </w:rPr>
              <w:t>31</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49"/>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3702</w:t>
            </w:r>
            <w: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青岛市</w:t>
      </w:r>
      <w:r>
        <w:rPr>
          <w:rFonts w:hint="eastAsia" w:ascii="黑体" w:hAnsi="黑体" w:eastAsia="黑体"/>
          <w:b w:val="0"/>
          <w:bCs w:val="0"/>
          <w:w w:val="100"/>
          <w:sz w:val="48"/>
          <w:szCs w:val="48"/>
        </w:rPr>
        <w:t>地方标准</w:t>
      </w:r>
    </w:p>
    <w:bookmarkEnd w:id="1"/>
    <w:p>
      <w:pPr>
        <w:pStyle w:val="195"/>
        <w:framePr w:wrap="around"/>
      </w:pPr>
      <w:r>
        <w:t>DB</w:t>
      </w:r>
      <w:bookmarkStart w:id="3" w:name="文字1"/>
      <w:r>
        <w:fldChar w:fldCharType="begin">
          <w:ffData>
            <w:name w:val="文字1"/>
            <w:enabled/>
            <w:calcOnExit w:val="0"/>
            <w:textInput>
              <w:default w:val="3702"/>
            </w:textInput>
          </w:ffData>
        </w:fldChar>
      </w:r>
      <w:r>
        <w:instrText xml:space="preserve"> FORMTEXT </w:instrText>
      </w:r>
      <w:r>
        <w:fldChar w:fldCharType="separate"/>
      </w:r>
      <w:r>
        <w:t>3702</w:t>
      </w:r>
      <w:r>
        <w:fldChar w:fldCharType="end"/>
      </w:r>
      <w:bookmarkEnd w:id="3"/>
      <w:r>
        <w:rPr>
          <w:rFonts w:hint="eastAsia"/>
        </w:rPr>
        <w:t>/T 30—2023</w:t>
      </w:r>
    </w:p>
    <w:p>
      <w:pPr>
        <w:pStyle w:val="196"/>
        <w:framePr w:wrap="around"/>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60288;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path arrowok="t"/>
            <v:fill focussize="0,0"/>
            <v:stroke/>
            <v:imagedata o:title=""/>
            <o:lock v:ext="edit"/>
          </v:line>
        </w:pic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t>名特优新农产品 平度玉秋香梨</w:t>
      </w:r>
    </w:p>
    <w:p>
      <w:pPr>
        <w:pStyle w:val="56"/>
        <w:ind w:firstLine="420"/>
      </w:pP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b/>
          <w:szCs w:val="28"/>
        </w:rPr>
      </w:pPr>
      <w:r>
        <w:rPr>
          <w:rFonts w:eastAsia="黑体"/>
          <w:b/>
          <w:szCs w:val="28"/>
        </w:rPr>
        <w:t xml:space="preserve">Well-known </w:t>
      </w:r>
      <w:r>
        <w:rPr>
          <w:rFonts w:hint="eastAsia" w:eastAsia="黑体"/>
          <w:b/>
          <w:szCs w:val="28"/>
        </w:rPr>
        <w:t>c</w:t>
      </w:r>
      <w:r>
        <w:rPr>
          <w:rFonts w:eastAsia="黑体"/>
          <w:b/>
          <w:szCs w:val="28"/>
        </w:rPr>
        <w:t xml:space="preserve">haracteristic </w:t>
      </w:r>
      <w:r>
        <w:rPr>
          <w:rFonts w:hint="eastAsia" w:eastAsia="黑体"/>
          <w:b/>
          <w:szCs w:val="28"/>
        </w:rPr>
        <w:t>h</w:t>
      </w:r>
      <w:r>
        <w:rPr>
          <w:rFonts w:eastAsia="黑体"/>
          <w:b/>
          <w:szCs w:val="28"/>
        </w:rPr>
        <w:t xml:space="preserve">igh quality and </w:t>
      </w:r>
      <w:r>
        <w:rPr>
          <w:rFonts w:hint="eastAsia" w:eastAsia="黑体"/>
          <w:b/>
          <w:szCs w:val="28"/>
        </w:rPr>
        <w:t>n</w:t>
      </w:r>
      <w:r>
        <w:rPr>
          <w:rFonts w:eastAsia="黑体"/>
          <w:b/>
          <w:szCs w:val="28"/>
        </w:rPr>
        <w:t xml:space="preserve">ew </w:t>
      </w:r>
      <w:r>
        <w:rPr>
          <w:rFonts w:hint="eastAsia" w:eastAsia="黑体"/>
          <w:b/>
          <w:szCs w:val="28"/>
        </w:rPr>
        <w:t>a</w:t>
      </w:r>
      <w:r>
        <w:rPr>
          <w:rFonts w:eastAsia="黑体"/>
          <w:b/>
          <w:szCs w:val="28"/>
        </w:rPr>
        <w:t>gricultural products—Pingdu YuQiuxiang pear</w:t>
      </w: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5" w:name="下拉1"/>
      <w:r>
        <w:rPr>
          <w:sz w:val="24"/>
          <w:szCs w:val="28"/>
        </w:rPr>
        <w:instrText xml:space="preserve"> FORMDROPDOWN </w:instrText>
      </w:r>
      <w:r>
        <w:rPr>
          <w:sz w:val="24"/>
          <w:szCs w:val="28"/>
        </w:rPr>
        <w:fldChar w:fldCharType="separate"/>
      </w:r>
      <w:r>
        <w:rPr>
          <w:sz w:val="24"/>
          <w:szCs w:val="28"/>
        </w:rPr>
        <w:fldChar w:fldCharType="end"/>
      </w:r>
      <w:bookmarkEnd w:id="5"/>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6"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6"/>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fldChar w:fldCharType="separate"/>
      </w:r>
      <w:r>
        <w:rPr>
          <w:b/>
          <w:sz w:val="21"/>
          <w:szCs w:val="28"/>
        </w:rPr>
        <w:fldChar w:fldCharType="end"/>
      </w:r>
      <w:bookmarkEnd w:id="7"/>
    </w:p>
    <w:p>
      <w:pPr>
        <w:pStyle w:val="193"/>
        <w:framePr w:wrap="around" w:y="14176"/>
      </w:pPr>
      <w:r>
        <w:rPr>
          <w:rFonts w:hint="eastAsia" w:ascii="黑体"/>
        </w:rPr>
        <w:t>2023</w:t>
      </w:r>
      <w:r>
        <w:rPr>
          <w:rFonts w:ascii="黑体"/>
        </w:rPr>
        <w:t>-</w:t>
      </w:r>
      <w:r>
        <w:rPr>
          <w:rFonts w:hint="eastAsia" w:ascii="黑体"/>
          <w:lang w:val="en-US" w:eastAsia="zh-CN"/>
        </w:rPr>
        <w:t>12</w:t>
      </w:r>
      <w:r>
        <w:rPr>
          <w:rFonts w:ascii="黑体"/>
        </w:rPr>
        <w:t>-</w:t>
      </w:r>
      <w:r>
        <w:rPr>
          <w:rFonts w:hint="eastAsia" w:ascii="黑体"/>
          <w:spacing w:val="-20"/>
          <w:lang w:val="en-US" w:eastAsia="zh-CN"/>
        </w:rPr>
        <w:t>8</w:t>
      </w:r>
      <w:r>
        <w:rPr>
          <w:rFonts w:hint="eastAsia"/>
        </w:rPr>
        <w:t>发布</w:t>
      </w:r>
    </w:p>
    <w:p>
      <w:pPr>
        <w:pStyle w:val="194"/>
        <w:framePr w:wrap="around" w:y="14176"/>
      </w:pPr>
      <w:r>
        <w:rPr>
          <w:rFonts w:hint="eastAsia" w:ascii="黑体"/>
        </w:rPr>
        <w:t>202</w:t>
      </w:r>
      <w:r>
        <w:rPr>
          <w:rFonts w:hint="eastAsia" w:ascii="黑体"/>
          <w:lang w:val="en-US" w:eastAsia="zh-CN"/>
        </w:rPr>
        <w:t>4</w:t>
      </w:r>
      <w:r>
        <w:rPr>
          <w:rFonts w:ascii="黑体"/>
        </w:rPr>
        <w:t>-</w:t>
      </w:r>
      <w:r>
        <w:rPr>
          <w:rFonts w:hint="eastAsia" w:ascii="黑体"/>
          <w:lang w:val="en-US" w:eastAsia="zh-CN"/>
        </w:rPr>
        <w:t>1</w:t>
      </w:r>
      <w:r>
        <w:rPr>
          <w:rFonts w:ascii="黑体"/>
        </w:rPr>
        <w:t>-</w:t>
      </w:r>
      <w:r>
        <w:rPr>
          <w:rFonts w:hint="eastAsia" w:ascii="黑体"/>
          <w:lang w:val="en-US" w:eastAsia="zh-CN"/>
        </w:rPr>
        <w:t>1</w:t>
      </w:r>
      <w:r>
        <w:rPr>
          <w:rFonts w:hint="eastAsia"/>
        </w:rPr>
        <w:t>实施</w:t>
      </w:r>
    </w:p>
    <w:p>
      <w:pPr>
        <w:pStyle w:val="151"/>
        <w:framePr w:h="584" w:hRule="exact" w:hSpace="181" w:vSpace="181" w:wrap="around" w:vAnchor="page" w:hAnchor="page" w:x="1965" w:y="15181"/>
        <w:rPr>
          <w:rFonts w:hAnsi="黑体"/>
        </w:rPr>
      </w:pPr>
      <w:r>
        <w:rPr>
          <w:rFonts w:ascii="Times New Roman"/>
          <w:w w:val="100"/>
          <w:sz w:val="28"/>
        </w:rPr>
        <w:t> </w:t>
      </w:r>
      <w:r>
        <w:rPr>
          <w:rFonts w:hint="eastAsia" w:ascii="Times New Roman"/>
          <w:w w:val="100"/>
          <w:sz w:val="28"/>
        </w:rPr>
        <w:t>青岛市市场监督管理局</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1312;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path arrowok="t"/>
            <v:fill focussize="0,0"/>
            <v:stroke/>
            <v:imagedata o:title=""/>
            <o:lock v:ext="edit"/>
            <w10:anchorlock/>
          </v:line>
        </w:pict>
      </w:r>
    </w:p>
    <w:p>
      <w:pPr>
        <w:pStyle w:val="91"/>
        <w:spacing w:after="468"/>
      </w:pPr>
      <w:bookmarkStart w:id="8" w:name="BookMark1"/>
      <w:bookmarkStart w:id="9" w:name="_Toc73970939"/>
      <w:bookmarkStart w:id="10" w:name="_Toc617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"_Toc145493349" </w:instrText>
      </w:r>
      <w:r>
        <w:fldChar w:fldCharType="separate"/>
      </w:r>
      <w:r>
        <w:rPr>
          <w:rStyle w:val="32"/>
          <w:rFonts w:hint="eastAsia"/>
          <w:spacing w:val="20"/>
        </w:rPr>
        <w:t>前言</w:t>
      </w:r>
      <w:r>
        <w:tab/>
      </w:r>
      <w:r>
        <w:fldChar w:fldCharType="begin"/>
      </w:r>
      <w:r>
        <w:instrText xml:space="preserve"> PAGEREF _Toc145493349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"_Toc145493350" </w:instrText>
      </w:r>
      <w:r>
        <w:fldChar w:fldCharType="separate"/>
      </w:r>
      <w:r>
        <w:rPr>
          <w:rStyle w:val="32"/>
        </w:rPr>
        <w:t>1</w:t>
      </w:r>
      <w:r>
        <w:rPr>
          <w:rStyle w:val="32"/>
          <w:rFonts w:hint="eastAsia"/>
        </w:rPr>
        <w:t>　范围</w:t>
      </w:r>
      <w:r>
        <w:tab/>
      </w:r>
      <w:r>
        <w:fldChar w:fldCharType="begin"/>
      </w:r>
      <w:r>
        <w:instrText xml:space="preserve"> PAGEREF _Toc145493350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"_Toc145493351" </w:instrText>
      </w:r>
      <w:r>
        <w:fldChar w:fldCharType="separate"/>
      </w:r>
      <w:r>
        <w:rPr>
          <w:rStyle w:val="32"/>
        </w:rPr>
        <w:t>2</w:t>
      </w:r>
      <w:r>
        <w:rPr>
          <w:rStyle w:val="32"/>
          <w:rFonts w:hint="eastAsia"/>
        </w:rPr>
        <w:t>　规范性引用文件</w:t>
      </w:r>
      <w:r>
        <w:tab/>
      </w:r>
      <w:r>
        <w:fldChar w:fldCharType="begin"/>
      </w:r>
      <w:r>
        <w:instrText xml:space="preserve"> PAGEREF _Toc145493351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"_Toc145493352" </w:instrText>
      </w:r>
      <w:r>
        <w:fldChar w:fldCharType="separate"/>
      </w:r>
      <w:r>
        <w:rPr>
          <w:rStyle w:val="32"/>
        </w:rPr>
        <w:t>3</w:t>
      </w:r>
      <w:r>
        <w:rPr>
          <w:rStyle w:val="32"/>
          <w:rFonts w:hint="eastAsia"/>
        </w:rPr>
        <w:t>　术语和定义</w:t>
      </w:r>
      <w:r>
        <w:tab/>
      </w:r>
      <w:r>
        <w:fldChar w:fldCharType="begin"/>
      </w:r>
      <w:r>
        <w:instrText xml:space="preserve"> PAGEREF _Toc145493352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"_Toc145493353" </w:instrText>
      </w:r>
      <w:r>
        <w:fldChar w:fldCharType="separate"/>
      </w:r>
      <w:r>
        <w:rPr>
          <w:rStyle w:val="32"/>
        </w:rPr>
        <w:t>4</w:t>
      </w:r>
      <w:r>
        <w:rPr>
          <w:rStyle w:val="32"/>
          <w:rFonts w:hint="eastAsia"/>
        </w:rPr>
        <w:t>　产地范围</w:t>
      </w:r>
      <w:r>
        <w:tab/>
      </w:r>
      <w:r>
        <w:fldChar w:fldCharType="begin"/>
      </w:r>
      <w:r>
        <w:instrText xml:space="preserve"> PAGEREF _Toc145493353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"_Toc145493354" </w:instrText>
      </w:r>
      <w:r>
        <w:fldChar w:fldCharType="separate"/>
      </w:r>
      <w:r>
        <w:rPr>
          <w:rStyle w:val="32"/>
        </w:rPr>
        <w:t>5</w:t>
      </w:r>
      <w:r>
        <w:rPr>
          <w:rStyle w:val="32"/>
          <w:rFonts w:hint="eastAsia"/>
        </w:rPr>
        <w:t>　生产管理</w:t>
      </w:r>
      <w:r>
        <w:tab/>
      </w:r>
      <w:r>
        <w:fldChar w:fldCharType="begin"/>
      </w:r>
      <w:r>
        <w:instrText xml:space="preserve"> PAGEREF _Toc145493354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"_Toc145493355" </w:instrText>
      </w:r>
      <w:r>
        <w:fldChar w:fldCharType="separate"/>
      </w:r>
      <w:r>
        <w:rPr>
          <w:rStyle w:val="32"/>
        </w:rPr>
        <w:t>6</w:t>
      </w:r>
      <w:r>
        <w:rPr>
          <w:rStyle w:val="32"/>
          <w:rFonts w:hint="eastAsia"/>
        </w:rPr>
        <w:t>　制度管理</w:t>
      </w:r>
      <w:r>
        <w:tab/>
      </w:r>
      <w:r>
        <w:fldChar w:fldCharType="begin"/>
      </w:r>
      <w:r>
        <w:instrText xml:space="preserve"> PAGEREF _Toc145493355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"_Toc145493356" </w:instrText>
      </w:r>
      <w:r>
        <w:fldChar w:fldCharType="separate"/>
      </w:r>
      <w:r>
        <w:rPr>
          <w:rStyle w:val="32"/>
        </w:rPr>
        <w:t>7</w:t>
      </w:r>
      <w:r>
        <w:rPr>
          <w:rStyle w:val="32"/>
          <w:rFonts w:hint="eastAsia"/>
        </w:rPr>
        <w:t>　物资管理</w:t>
      </w:r>
      <w:r>
        <w:tab/>
      </w:r>
      <w:r>
        <w:fldChar w:fldCharType="begin"/>
      </w:r>
      <w:r>
        <w:instrText xml:space="preserve"> PAGEREF _Toc145493356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"_Toc145493357" </w:instrText>
      </w:r>
      <w:r>
        <w:fldChar w:fldCharType="separate"/>
      </w:r>
      <w:r>
        <w:rPr>
          <w:rStyle w:val="32"/>
        </w:rPr>
        <w:t>8</w:t>
      </w:r>
      <w:r>
        <w:rPr>
          <w:rStyle w:val="32"/>
          <w:rFonts w:hint="eastAsia"/>
        </w:rPr>
        <w:t>　技术要求</w:t>
      </w:r>
      <w:r>
        <w:tab/>
      </w:r>
      <w:r>
        <w:fldChar w:fldCharType="begin"/>
      </w:r>
      <w:r>
        <w:instrText xml:space="preserve"> PAGEREF _Toc145493357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"_Toc145493358" </w:instrText>
      </w:r>
      <w:r>
        <w:fldChar w:fldCharType="separate"/>
      </w:r>
      <w:r>
        <w:rPr>
          <w:rStyle w:val="32"/>
        </w:rPr>
        <w:t>9</w:t>
      </w:r>
      <w:r>
        <w:rPr>
          <w:rStyle w:val="32"/>
          <w:rFonts w:hint="eastAsia"/>
        </w:rPr>
        <w:t>　产品质量管理</w:t>
      </w:r>
      <w:r>
        <w:tab/>
      </w:r>
      <w:r>
        <w:fldChar w:fldCharType="begin"/>
      </w:r>
      <w:r>
        <w:instrText xml:space="preserve"> PAGEREF _Toc145493358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"_Toc145493359" </w:instrText>
      </w:r>
      <w:r>
        <w:fldChar w:fldCharType="separate"/>
      </w:r>
      <w:r>
        <w:rPr>
          <w:rStyle w:val="32"/>
        </w:rPr>
        <w:t>10</w:t>
      </w:r>
      <w:r>
        <w:rPr>
          <w:rStyle w:val="32"/>
          <w:rFonts w:hint="eastAsia"/>
        </w:rPr>
        <w:t>　病虫害控制</w:t>
      </w:r>
      <w:r>
        <w:tab/>
      </w:r>
      <w:r>
        <w:fldChar w:fldCharType="begin"/>
      </w:r>
      <w:r>
        <w:instrText xml:space="preserve"> PAGEREF _Toc145493359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"_Toc145493360" </w:instrText>
      </w:r>
      <w:r>
        <w:fldChar w:fldCharType="separate"/>
      </w:r>
      <w:r>
        <w:rPr>
          <w:rStyle w:val="32"/>
          <w:rFonts w:hint="eastAsia"/>
          <w:spacing w:val="20"/>
        </w:rPr>
        <w:t xml:space="preserve">附录A </w:t>
      </w:r>
      <w:r>
        <w:rPr>
          <w:rStyle w:val="32"/>
          <w:rFonts w:hint="eastAsia"/>
        </w:rPr>
        <w:t>（资料性）　梨上禁止使用的农药</w:t>
      </w:r>
      <w:r>
        <w:tab/>
      </w:r>
      <w:r>
        <w:rPr>
          <w:rFonts w:hint="eastAsia"/>
        </w:rPr>
        <w:t>6</w:t>
      </w:r>
      <w:r>
        <w:rPr>
          <w:rFonts w:hint="eastAsia"/>
        </w:rPr>
        <w:fldChar w:fldCharType="end"/>
      </w:r>
    </w:p>
    <w:p>
      <w:pPr>
        <w:pStyle w:val="91"/>
        <w:spacing w:after="468"/>
        <w:sectPr>
          <w:headerReference r:id="rId11" w:type="default"/>
          <w:footerReference r:id="rId13" w:type="default"/>
          <w:headerReference r:id="rId12" w:type="even"/>
          <w:footerReference r:id="rId14"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8"/>
    <w:p>
      <w:pPr>
        <w:pStyle w:val="89"/>
        <w:spacing w:after="468"/>
      </w:pPr>
      <w:bookmarkStart w:id="11" w:name="_Toc145493349"/>
      <w:bookmarkStart w:id="12" w:name="BookMark2"/>
      <w:r>
        <w:rPr>
          <w:spacing w:val="320"/>
        </w:rPr>
        <w:t>前</w:t>
      </w:r>
      <w:r>
        <w:t>言</w:t>
      </w:r>
      <w:bookmarkEnd w:id="9"/>
      <w:bookmarkEnd w:id="10"/>
      <w:bookmarkEnd w:id="1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本文件由青岛市农业农村局提出。</w:t>
      </w:r>
    </w:p>
    <w:p>
      <w:pPr>
        <w:pStyle w:val="56"/>
        <w:ind w:firstLine="420"/>
      </w:pPr>
      <w:r>
        <w:rPr>
          <w:rFonts w:hint="eastAsia"/>
        </w:rPr>
        <w:t>本文件由青岛市农业农村标准化技术委员会归口。</w:t>
      </w:r>
    </w:p>
    <w:p>
      <w:pPr>
        <w:pStyle w:val="56"/>
        <w:ind w:firstLine="420"/>
      </w:pPr>
      <w:r>
        <w:rPr>
          <w:rFonts w:hint="eastAsia"/>
        </w:rPr>
        <w:t>本文件起草单位：青岛市农产品质量安全中心、平度市农业农村局、青岛万润丰生物科技有限公司、青岛汇勤农业有限公司、青岛万汇中日韩果蔬技术产业研究院、青岛农业大学、中国农业科学院烟草研究所。</w:t>
      </w:r>
    </w:p>
    <w:p>
      <w:pPr>
        <w:pStyle w:val="56"/>
        <w:ind w:left="210" w:leftChars="100" w:firstLine="210" w:firstLineChars="100"/>
      </w:pPr>
      <w:r>
        <w:rPr>
          <w:rFonts w:hint="eastAsia"/>
        </w:rPr>
        <w:t>本文件主要起草人：付红蕾、张丽娟、聂易田、初晓娜、丁宗博、吴燕、吕宁、魏亦山、张兴龙、鞠鹏飞、杨君、王绅、于新海、刘苗苗、王黎、邵楚君、聂继云、邱军、范学鹏。</w:t>
      </w:r>
    </w:p>
    <w:p>
      <w:pPr>
        <w:pStyle w:val="56"/>
        <w:ind w:firstLine="420"/>
      </w:pPr>
    </w:p>
    <w:p>
      <w:pPr>
        <w:pStyle w:val="56"/>
        <w:ind w:firstLine="420"/>
      </w:pPr>
    </w:p>
    <w:p>
      <w:pPr>
        <w:pStyle w:val="56"/>
        <w:ind w:firstLine="420"/>
        <w:sectPr>
          <w:headerReference r:id="rId15" w:type="default"/>
          <w:footerReference r:id="rId17" w:type="default"/>
          <w:headerReference r:id="rId16" w:type="even"/>
          <w:footerReference r:id="rId18" w:type="even"/>
          <w:pgSz w:w="11906" w:h="16838"/>
          <w:pgMar w:top="567" w:right="1134" w:bottom="1134" w:left="1134" w:header="1418" w:footer="1134" w:gutter="284"/>
          <w:pgNumType w:fmt="upperRoman"/>
          <w:cols w:space="425" w:num="1"/>
          <w:formProt w:val="0"/>
          <w:docGrid w:type="lines" w:linePitch="312" w:charSpace="0"/>
        </w:sectPr>
      </w:pPr>
    </w:p>
    <w:bookmarkEnd w:id="12"/>
    <w:p>
      <w:pPr>
        <w:spacing w:line="20" w:lineRule="exact"/>
        <w:jc w:val="center"/>
        <w:rPr>
          <w:rFonts w:ascii="黑体" w:hAnsi="黑体" w:eastAsia="黑体"/>
          <w:sz w:val="32"/>
          <w:szCs w:val="32"/>
        </w:rPr>
      </w:pPr>
      <w:bookmarkStart w:id="13" w:name="BookMark4"/>
    </w:p>
    <w:p>
      <w:pPr>
        <w:spacing w:line="20" w:lineRule="exact"/>
        <w:jc w:val="center"/>
        <w:rPr>
          <w:rFonts w:ascii="黑体" w:hAnsi="黑体" w:eastAsia="黑体"/>
          <w:sz w:val="32"/>
          <w:szCs w:val="32"/>
        </w:rPr>
      </w:pPr>
    </w:p>
    <w:sdt>
      <w:sdtPr>
        <w:tag w:val="NEW_STAND_NAME"/>
        <w:id w:val="595910757"/>
        <w:lock w:val="sdtLocked"/>
        <w:placeholder>
          <w:docPart w:val="{fc50efcc-57a4-475d-8dd8-bea9bd8abdb6}"/>
        </w:placeholder>
      </w:sdtPr>
      <w:sdtContent>
        <w:p>
          <w:pPr>
            <w:pStyle w:val="177"/>
            <w:spacing w:before="312" w:beforeLines="100" w:after="686" w:afterLines="220"/>
          </w:pPr>
          <w:bookmarkStart w:id="14" w:name="NEW_STAND_NAME"/>
          <w:bookmarkStart w:id="15" w:name="_Hlk74052844"/>
          <w:r>
            <w:rPr>
              <w:rFonts w:hint="eastAsia"/>
            </w:rPr>
            <w:t>名特优新农产品</w:t>
          </w:r>
          <w:r>
            <w:t xml:space="preserve"> 平度玉秋香梨</w:t>
          </w:r>
        </w:p>
      </w:sdtContent>
    </w:sdt>
    <w:bookmarkEnd w:id="14"/>
    <w:bookmarkEnd w:id="15"/>
    <w:p>
      <w:pPr>
        <w:spacing w:line="20" w:lineRule="exact"/>
        <w:jc w:val="center"/>
        <w:rPr>
          <w:rFonts w:ascii="黑体" w:hAnsi="黑体" w:eastAsia="黑体"/>
          <w:sz w:val="32"/>
          <w:szCs w:val="32"/>
        </w:rPr>
      </w:pPr>
      <w:bookmarkStart w:id="16" w:name="_Toc26986772"/>
      <w:bookmarkStart w:id="17" w:name="_Toc24884219"/>
      <w:bookmarkStart w:id="18" w:name="_Toc24884212"/>
      <w:bookmarkStart w:id="19" w:name="_Toc26986531"/>
      <w:bookmarkStart w:id="20" w:name="_Toc26718931"/>
      <w:bookmarkStart w:id="21" w:name="_Toc26648466"/>
      <w:bookmarkStart w:id="22" w:name="_Toc17233326"/>
      <w:bookmarkStart w:id="23" w:name="_Toc73970941"/>
      <w:bookmarkStart w:id="24" w:name="_Toc17233334"/>
    </w:p>
    <w:p>
      <w:pPr>
        <w:spacing w:line="20" w:lineRule="exact"/>
        <w:jc w:val="center"/>
        <w:rPr>
          <w:rFonts w:ascii="黑体" w:hAnsi="黑体" w:eastAsia="黑体"/>
          <w:sz w:val="32"/>
          <w:szCs w:val="32"/>
        </w:rPr>
      </w:pPr>
    </w:p>
    <w:p>
      <w:pPr>
        <w:pStyle w:val="104"/>
        <w:spacing w:before="312" w:after="312"/>
      </w:pPr>
      <w:bookmarkStart w:id="25" w:name="_Toc17233325"/>
      <w:bookmarkStart w:id="26" w:name="_Toc26986771"/>
      <w:bookmarkStart w:id="27" w:name="_Toc24884211"/>
      <w:bookmarkStart w:id="28" w:name="_Toc24884218"/>
      <w:bookmarkStart w:id="29" w:name="_Toc17233333"/>
      <w:bookmarkStart w:id="30" w:name="_Toc26648465"/>
      <w:bookmarkStart w:id="31" w:name="_Toc73970940"/>
      <w:bookmarkStart w:id="32" w:name="_Toc14392"/>
      <w:bookmarkStart w:id="33" w:name="_Toc26986530"/>
      <w:bookmarkStart w:id="34" w:name="_Toc26718930"/>
      <w:bookmarkStart w:id="35" w:name="_Toc145493350"/>
      <w:bookmarkStart w:id="36" w:name="_Hlk112327077"/>
      <w:r>
        <w:rPr>
          <w:rFonts w:hint="eastAsia"/>
        </w:rPr>
        <w:t>范围</w:t>
      </w:r>
      <w:bookmarkEnd w:id="25"/>
      <w:bookmarkEnd w:id="26"/>
      <w:bookmarkEnd w:id="27"/>
      <w:bookmarkEnd w:id="28"/>
      <w:bookmarkEnd w:id="29"/>
      <w:bookmarkEnd w:id="30"/>
      <w:bookmarkEnd w:id="31"/>
      <w:bookmarkEnd w:id="32"/>
      <w:bookmarkEnd w:id="33"/>
      <w:bookmarkEnd w:id="34"/>
      <w:bookmarkEnd w:id="35"/>
    </w:p>
    <w:p>
      <w:pPr>
        <w:pStyle w:val="56"/>
        <w:ind w:firstLine="420"/>
      </w:pPr>
      <w:r>
        <w:rPr>
          <w:rFonts w:hint="eastAsia"/>
        </w:rPr>
        <w:t>本文件规定了名特优新农产品平度‘玉秋香梨’（</w:t>
      </w:r>
      <w:r>
        <w:rPr>
          <w:rFonts w:ascii="Times New Roman"/>
          <w:i/>
          <w:color w:val="333333"/>
          <w:sz w:val="20"/>
          <w:shd w:val="clear" w:color="auto" w:fill="FFFFFF"/>
        </w:rPr>
        <w:t>Pyrus pyrifolia</w:t>
      </w:r>
      <w:r>
        <w:rPr>
          <w:rFonts w:ascii="Times New Roman"/>
          <w:color w:val="333333"/>
          <w:sz w:val="20"/>
          <w:shd w:val="clear" w:color="auto" w:fill="FFFFFF"/>
        </w:rPr>
        <w:t> Nakai</w:t>
      </w:r>
      <w:r>
        <w:rPr>
          <w:rFonts w:hint="eastAsia"/>
        </w:rPr>
        <w:t>）生产对产地范围、组织管理、制度管理、物资管理、技术要求、产品质量管理和内部自查等全程质量控制的要求。</w:t>
      </w:r>
    </w:p>
    <w:p>
      <w:pPr>
        <w:pStyle w:val="56"/>
        <w:ind w:firstLine="420"/>
      </w:pPr>
      <w:r>
        <w:rPr>
          <w:rFonts w:hint="eastAsia"/>
        </w:rPr>
        <w:t>本文件适用于全国名特优新农产品平度玉秋香梨生产全过程的质量控制。</w:t>
      </w:r>
    </w:p>
    <w:p>
      <w:pPr>
        <w:pStyle w:val="104"/>
        <w:spacing w:before="312" w:after="312"/>
      </w:pPr>
      <w:bookmarkStart w:id="37" w:name="_Toc20614"/>
      <w:bookmarkStart w:id="38" w:name="_Toc145493351"/>
      <w:r>
        <w:rPr>
          <w:rFonts w:hint="eastAsia"/>
        </w:rPr>
        <w:t>规范性引用文件</w:t>
      </w:r>
      <w:bookmarkEnd w:id="37"/>
      <w:bookmarkEnd w:id="38"/>
    </w:p>
    <w:sdt>
      <w:sdtPr>
        <w:rPr>
          <w:rFonts w:hint="eastAsia"/>
        </w:rPr>
        <w:id w:val="-354429697"/>
        <w:placeholder>
          <w:docPart w:val="{1c443ff0-b8b8-4cec-af37-e559082987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bookmarkStart w:id="39" w:name="_Toc6364"/>
      <w:bookmarkStart w:id="40" w:name="_Toc17255"/>
      <w:bookmarkStart w:id="41" w:name="_Toc145493352"/>
      <w:r>
        <w:rPr>
          <w:rFonts w:hint="eastAsia"/>
        </w:rPr>
        <w:t>GB 2762　食品安全国家标准 食品中污染物限量</w:t>
      </w:r>
    </w:p>
    <w:p>
      <w:pPr>
        <w:pStyle w:val="56"/>
        <w:ind w:firstLine="420"/>
      </w:pPr>
      <w:r>
        <w:rPr>
          <w:rFonts w:hint="eastAsia"/>
        </w:rPr>
        <w:t>GB 2763　食品安全国家标准 食品中农药最大残留限量</w:t>
      </w:r>
    </w:p>
    <w:p>
      <w:pPr>
        <w:pStyle w:val="56"/>
        <w:ind w:firstLine="420"/>
      </w:pPr>
      <w:r>
        <w:rPr>
          <w:rFonts w:hint="eastAsia"/>
        </w:rPr>
        <w:t>GB 3095　环境空气质量标准</w:t>
      </w:r>
    </w:p>
    <w:p>
      <w:pPr>
        <w:pStyle w:val="56"/>
        <w:ind w:firstLine="420"/>
      </w:pPr>
      <w:r>
        <w:rPr>
          <w:rFonts w:hint="eastAsia"/>
        </w:rPr>
        <w:t>GB/T 5009.10　植物类食品中粗纤维的测定</w:t>
      </w:r>
    </w:p>
    <w:p>
      <w:pPr>
        <w:pStyle w:val="56"/>
        <w:ind w:firstLine="420"/>
      </w:pPr>
      <w:r>
        <w:rPr>
          <w:rFonts w:hint="eastAsia"/>
        </w:rPr>
        <w:t>GB 5009.86　食品安全国家标准 食品中抗坏血酸的测定</w:t>
      </w:r>
    </w:p>
    <w:p>
      <w:pPr>
        <w:pStyle w:val="56"/>
        <w:ind w:firstLine="420"/>
      </w:pPr>
      <w:r>
        <w:rPr>
          <w:rFonts w:hint="eastAsia"/>
        </w:rPr>
        <w:t>GB 5084　农田灌溉水质标准</w:t>
      </w:r>
    </w:p>
    <w:p>
      <w:pPr>
        <w:pStyle w:val="56"/>
        <w:ind w:firstLine="420"/>
      </w:pPr>
      <w:r>
        <w:rPr>
          <w:rFonts w:hint="eastAsia"/>
        </w:rPr>
        <w:t>GB 38400　肥料中有毒有害物质的限量要求</w:t>
      </w:r>
    </w:p>
    <w:p>
      <w:pPr>
        <w:pStyle w:val="56"/>
        <w:ind w:firstLine="420"/>
      </w:pPr>
      <w:r>
        <w:rPr>
          <w:rFonts w:hint="eastAsia"/>
        </w:rPr>
        <w:t>NY/T 395　农田土壤环境质量监测技术规范</w:t>
      </w:r>
    </w:p>
    <w:p>
      <w:pPr>
        <w:pStyle w:val="56"/>
        <w:ind w:firstLine="420"/>
      </w:pPr>
      <w:r>
        <w:rPr>
          <w:rFonts w:hint="eastAsia"/>
        </w:rPr>
        <w:t>NY/T 658　绿色食品 包装通用准则</w:t>
      </w:r>
    </w:p>
    <w:p>
      <w:pPr>
        <w:pStyle w:val="56"/>
        <w:ind w:firstLine="420"/>
      </w:pPr>
      <w:r>
        <w:rPr>
          <w:rFonts w:hint="eastAsia"/>
        </w:rPr>
        <w:t>NY/T 896　绿色食品 产品抽样准则</w:t>
      </w:r>
    </w:p>
    <w:p>
      <w:pPr>
        <w:pStyle w:val="56"/>
        <w:ind w:firstLine="420"/>
      </w:pPr>
      <w:r>
        <w:rPr>
          <w:rFonts w:hint="eastAsia"/>
        </w:rPr>
        <w:t>NY/T 1056　绿色食品 贮藏运输准则</w:t>
      </w:r>
    </w:p>
    <w:p>
      <w:pPr>
        <w:pStyle w:val="104"/>
        <w:spacing w:before="312" w:after="312"/>
      </w:pPr>
      <w:r>
        <w:rPr>
          <w:rFonts w:hint="eastAsia"/>
        </w:rPr>
        <w:t>术语和定义</w:t>
      </w:r>
      <w:bookmarkEnd w:id="39"/>
      <w:bookmarkEnd w:id="40"/>
      <w:bookmarkEnd w:id="41"/>
    </w:p>
    <w:sdt>
      <w:sdtPr>
        <w:id w:val="-1620837417"/>
        <w:placeholder>
          <w:docPart w:val="{8ff1ad95-c9d4-485c-a06f-81309a6b1dc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Style w:val="248"/>
          <w:szCs w:val="21"/>
        </w:rPr>
      </w:sdtEndPr>
      <w:sdtContent>
        <w:p>
          <w:pPr>
            <w:pStyle w:val="56"/>
            <w:ind w:firstLine="199" w:firstLineChars="95"/>
            <w:rPr>
              <w:szCs w:val="21"/>
            </w:rPr>
          </w:pPr>
          <w:r>
            <w:rPr>
              <w:rStyle w:val="248"/>
            </w:rPr>
            <w:t>下列术语和定义适用于本文件。</w:t>
          </w:r>
        </w:p>
      </w:sdtContent>
    </w:sdt>
    <w:p>
      <w:pPr>
        <w:pStyle w:val="105"/>
        <w:spacing w:before="156" w:after="156"/>
        <w:ind w:left="0"/>
      </w:pPr>
    </w:p>
    <w:p>
      <w:pPr>
        <w:pStyle w:val="105"/>
        <w:numPr>
          <w:ilvl w:val="0"/>
          <w:numId w:val="0"/>
        </w:numPr>
        <w:spacing w:before="156" w:after="156"/>
        <w:ind w:firstLine="420" w:firstLineChars="200"/>
      </w:pPr>
      <w:r>
        <w:rPr>
          <w:rFonts w:hint="eastAsia"/>
        </w:rPr>
        <w:t xml:space="preserve">名特优新农产品  </w:t>
      </w:r>
      <w:r>
        <w:rPr>
          <w:rFonts w:ascii="Times New Roman"/>
          <w:b/>
        </w:rPr>
        <w:t>Well-known Characteristic High quality and New Agricultural products</w:t>
      </w:r>
    </w:p>
    <w:p>
      <w:pPr>
        <w:pStyle w:val="56"/>
        <w:ind w:firstLine="420"/>
      </w:pPr>
      <w:bookmarkStart w:id="42" w:name="_Toc110240050"/>
      <w:r>
        <w:rPr>
          <w:rFonts w:hint="eastAsia"/>
        </w:rPr>
        <w:t>在特定区域（原则上以县域为单元）内生产、具备一定生产规模和商品量、具有显著地域特征和独特营养品质特色、有稳定的供应量和消费市场、公众认知度和美誉度高，并经农业农村部农产品质量安全中心登录公告和核发证书的农产品。</w:t>
      </w:r>
    </w:p>
    <w:p>
      <w:pPr>
        <w:pStyle w:val="104"/>
        <w:spacing w:before="312" w:after="312"/>
      </w:pPr>
      <w:bookmarkStart w:id="43" w:name="_Toc145493353"/>
      <w:bookmarkStart w:id="44" w:name="_Toc23175"/>
      <w:r>
        <w:rPr>
          <w:rFonts w:hint="eastAsia"/>
        </w:rPr>
        <w:t>产地范围</w:t>
      </w:r>
      <w:bookmarkEnd w:id="42"/>
      <w:bookmarkEnd w:id="43"/>
      <w:bookmarkEnd w:id="44"/>
    </w:p>
    <w:p>
      <w:pPr>
        <w:pStyle w:val="56"/>
        <w:ind w:firstLine="420"/>
      </w:pPr>
      <w:bookmarkStart w:id="45" w:name="_Toc110240051"/>
      <w:r>
        <w:rPr>
          <w:rFonts w:hint="eastAsia"/>
        </w:rPr>
        <w:t>山东省青岛市平度市凤台街道西岭村、香店村、后于家村、仲家村；麻兰镇孙家荒、鲁家荒、邓家荒、姜家观；同和街道孙家柳疃、王家柳疃；李园街道于家店子、马家店子、四甲村；东阁街道五亩兰村、金华山基地。</w:t>
      </w:r>
      <w:bookmarkEnd w:id="45"/>
    </w:p>
    <w:p>
      <w:pPr>
        <w:pStyle w:val="104"/>
        <w:spacing w:before="312" w:after="312"/>
      </w:pPr>
      <w:bookmarkStart w:id="46" w:name="_Toc145493354"/>
      <w:bookmarkStart w:id="47" w:name="_Toc6702"/>
      <w:r>
        <w:rPr>
          <w:rFonts w:hint="eastAsia"/>
        </w:rPr>
        <w:t>生产管理</w:t>
      </w:r>
      <w:bookmarkEnd w:id="46"/>
      <w:bookmarkEnd w:id="47"/>
    </w:p>
    <w:p>
      <w:pPr>
        <w:pStyle w:val="105"/>
        <w:spacing w:before="156" w:after="156"/>
        <w:ind w:left="0"/>
      </w:pPr>
      <w:r>
        <w:rPr>
          <w:rFonts w:hint="eastAsia"/>
        </w:rPr>
        <w:t>组织机构</w:t>
      </w:r>
    </w:p>
    <w:p>
      <w:pPr>
        <w:pStyle w:val="165"/>
        <w:ind w:left="0"/>
      </w:pPr>
      <w:r>
        <w:rPr>
          <w:rFonts w:hint="eastAsia"/>
        </w:rPr>
        <w:t>生产者应为纳入全国名特优新农产品名录或经全国名特优新农产品证书持有者授权的生产主体。</w:t>
      </w:r>
    </w:p>
    <w:p>
      <w:pPr>
        <w:pStyle w:val="165"/>
        <w:ind w:left="0"/>
      </w:pPr>
      <w:r>
        <w:rPr>
          <w:rFonts w:hint="eastAsia"/>
        </w:rPr>
        <w:t>生产者应配备与生产规模相适应的管理人员、技术人员和生产人员。</w:t>
      </w:r>
    </w:p>
    <w:p>
      <w:pPr>
        <w:pStyle w:val="105"/>
        <w:spacing w:before="156" w:after="156"/>
        <w:ind w:left="0"/>
      </w:pPr>
      <w:r>
        <w:rPr>
          <w:rFonts w:hint="eastAsia"/>
        </w:rPr>
        <w:t>人员管理</w:t>
      </w:r>
    </w:p>
    <w:p>
      <w:pPr>
        <w:pStyle w:val="65"/>
        <w:spacing w:before="156" w:after="156"/>
        <w:ind w:left="0"/>
      </w:pPr>
      <w:r>
        <w:rPr>
          <w:rFonts w:hint="eastAsia"/>
        </w:rPr>
        <w:t>职业资格</w:t>
      </w:r>
    </w:p>
    <w:p>
      <w:pPr>
        <w:pStyle w:val="164"/>
        <w:numPr>
          <w:ilvl w:val="0"/>
          <w:numId w:val="0"/>
        </w:numPr>
        <w:ind w:firstLine="420" w:firstLineChars="200"/>
      </w:pPr>
      <w:r>
        <w:rPr>
          <w:rFonts w:hint="eastAsia"/>
        </w:rPr>
        <w:t>管理人员具备相应的管理知识，熟悉相关的专业知识，能够负责相关人员和事项的管理;技术人员具备相应的专业知识，能够负责技术操作规范制定、技术指导、技术培训等工作</w:t>
      </w:r>
      <w:r>
        <w:t>;</w:t>
      </w:r>
      <w:r>
        <w:rPr>
          <w:rFonts w:hint="eastAsia"/>
        </w:rPr>
        <w:t>生产人员具备相应的生产技能，能够负责相应的农事操作。</w:t>
      </w:r>
    </w:p>
    <w:p>
      <w:pPr>
        <w:pStyle w:val="65"/>
        <w:spacing w:before="156" w:after="156"/>
        <w:ind w:left="0"/>
      </w:pPr>
      <w:r>
        <w:rPr>
          <w:rFonts w:hint="eastAsia"/>
        </w:rPr>
        <w:t>职业培训</w:t>
      </w:r>
    </w:p>
    <w:p>
      <w:pPr>
        <w:pStyle w:val="164"/>
        <w:numPr>
          <w:ilvl w:val="0"/>
          <w:numId w:val="0"/>
        </w:numPr>
        <w:ind w:firstLine="420" w:firstLineChars="200"/>
      </w:pPr>
      <w:r>
        <w:rPr>
          <w:rFonts w:hint="eastAsia"/>
        </w:rPr>
        <w:t>应对所有人员进行卫生和安全基本知识培训。应对果园建立、栽培管理、病虫害控制、农资管理、采收控制等关键岗位人员进行相关专业知识培训，培训合格后上岗。</w:t>
      </w:r>
    </w:p>
    <w:p>
      <w:pPr>
        <w:pStyle w:val="65"/>
        <w:spacing w:before="156" w:after="156"/>
        <w:ind w:left="0"/>
      </w:pPr>
      <w:r>
        <w:rPr>
          <w:rFonts w:hint="eastAsia"/>
        </w:rPr>
        <w:t>职业健康</w:t>
      </w:r>
    </w:p>
    <w:p>
      <w:pPr>
        <w:pStyle w:val="164"/>
      </w:pPr>
      <w:r>
        <w:rPr>
          <w:rFonts w:hint="eastAsia"/>
        </w:rPr>
        <w:t>应制定简明易懂的紧急事故处理程序，并张贴于显眼处，并有应急处理能力的人员。</w:t>
      </w:r>
    </w:p>
    <w:p>
      <w:pPr>
        <w:pStyle w:val="164"/>
      </w:pPr>
      <w:r>
        <w:rPr>
          <w:rFonts w:hint="eastAsia"/>
        </w:rPr>
        <w:t>应在工作场所固定区域配置急救箱和必要的消防设施;应在危险处设立警示标志。</w:t>
      </w:r>
    </w:p>
    <w:p>
      <w:pPr>
        <w:pStyle w:val="164"/>
      </w:pPr>
      <w:r>
        <w:rPr>
          <w:rFonts w:hint="eastAsia"/>
        </w:rPr>
        <w:t>应为特定工作（如农药施用）人员提供必要的防护条件（如胶靴、防护服、胶手套、面罩等）。</w:t>
      </w:r>
    </w:p>
    <w:p>
      <w:pPr>
        <w:pStyle w:val="164"/>
      </w:pPr>
      <w:r>
        <w:rPr>
          <w:rFonts w:hint="eastAsia"/>
        </w:rPr>
        <w:t>应要求直接接触果实的人员取得健康证明。</w:t>
      </w:r>
    </w:p>
    <w:p>
      <w:pPr>
        <w:pStyle w:val="104"/>
        <w:spacing w:before="312" w:after="312"/>
      </w:pPr>
      <w:bookmarkStart w:id="48" w:name="_Toc145493355"/>
      <w:bookmarkStart w:id="49" w:name="_Toc27134"/>
      <w:bookmarkStart w:id="50" w:name="_Toc3892"/>
      <w:r>
        <w:rPr>
          <w:rFonts w:hint="eastAsia"/>
        </w:rPr>
        <w:t>制度管理</w:t>
      </w:r>
      <w:bookmarkEnd w:id="48"/>
      <w:bookmarkEnd w:id="49"/>
      <w:bookmarkEnd w:id="50"/>
    </w:p>
    <w:p>
      <w:pPr>
        <w:pStyle w:val="162"/>
      </w:pPr>
      <w:r>
        <w:rPr>
          <w:rFonts w:hint="eastAsia"/>
        </w:rPr>
        <w:t>生产主体应根据实际生产编制适用的制度规范，并在相应功能区上墙明示。</w:t>
      </w:r>
    </w:p>
    <w:p>
      <w:pPr>
        <w:pStyle w:val="162"/>
      </w:pPr>
      <w:r>
        <w:rPr>
          <w:rFonts w:hint="eastAsia"/>
        </w:rPr>
        <w:t>制度文件内容包括但不限于：</w:t>
      </w:r>
    </w:p>
    <w:p>
      <w:pPr>
        <w:pStyle w:val="174"/>
      </w:pPr>
      <w:r>
        <w:rPr>
          <w:rFonts w:hint="eastAsia"/>
        </w:rPr>
        <w:t>制度规定应包括农业投入品管理制度、产品质量管理制度、仓库管理制度、员工管理制度等；</w:t>
      </w:r>
    </w:p>
    <w:p>
      <w:pPr>
        <w:pStyle w:val="174"/>
      </w:pPr>
      <w:r>
        <w:rPr>
          <w:rFonts w:hint="eastAsia"/>
        </w:rPr>
        <w:t>操作程序应包括人员培训程序、卫生管理程序、农业投入品使用程序、废弃物处理程序等；</w:t>
      </w:r>
    </w:p>
    <w:p>
      <w:pPr>
        <w:pStyle w:val="174"/>
      </w:pPr>
      <w:r>
        <w:rPr>
          <w:rFonts w:hint="eastAsia"/>
        </w:rPr>
        <w:t>作业指导书应包括育苗、移栽、田间管理、病虫害防治、采收、储藏、运输等生产过程。</w:t>
      </w:r>
    </w:p>
    <w:p>
      <w:pPr>
        <w:pStyle w:val="104"/>
        <w:spacing w:before="312" w:after="312"/>
      </w:pPr>
      <w:bookmarkStart w:id="51" w:name="_Toc145493356"/>
      <w:bookmarkStart w:id="52" w:name="_Toc26902"/>
      <w:bookmarkStart w:id="53" w:name="_Toc3687"/>
      <w:r>
        <w:rPr>
          <w:rFonts w:hint="eastAsia"/>
        </w:rPr>
        <w:t>物资管理</w:t>
      </w:r>
      <w:bookmarkEnd w:id="51"/>
      <w:bookmarkEnd w:id="52"/>
      <w:bookmarkEnd w:id="53"/>
    </w:p>
    <w:p>
      <w:pPr>
        <w:pStyle w:val="105"/>
        <w:spacing w:before="156" w:after="156"/>
        <w:ind w:left="0"/>
      </w:pPr>
      <w:r>
        <w:rPr>
          <w:rFonts w:hint="eastAsia"/>
        </w:rPr>
        <w:t>投入品管理</w:t>
      </w:r>
    </w:p>
    <w:p>
      <w:pPr>
        <w:pStyle w:val="165"/>
        <w:ind w:left="0"/>
      </w:pPr>
      <w:r>
        <w:rPr>
          <w:rFonts w:hint="eastAsia"/>
        </w:rPr>
        <w:t>投入品应从合格供应商处购买合格产品，并建立台账（记录产品名称、产品规格、生产厂家、产品批次、执行标准、保质期、入库时间、入库数量、出库时间、出库数量、经手人、使用地块或设施等信息），保存合同、发票、说明书、合格证等相关票据和资料。</w:t>
      </w:r>
    </w:p>
    <w:p>
      <w:pPr>
        <w:pStyle w:val="165"/>
        <w:ind w:left="0"/>
      </w:pPr>
      <w:r>
        <w:rPr>
          <w:rFonts w:hint="eastAsia"/>
        </w:rPr>
        <w:t>投入品应保存在安全场所和适宜条件下，不同投入品之间应相互隔离、互不影响，并适时对场所安全性、保存条件和产品状况进行监测、检查和记录。</w:t>
      </w:r>
    </w:p>
    <w:p>
      <w:pPr>
        <w:pStyle w:val="165"/>
        <w:ind w:left="0"/>
      </w:pPr>
      <w:r>
        <w:rPr>
          <w:rFonts w:hint="eastAsia"/>
        </w:rPr>
        <w:t>农药、肥料施用应填写施用记录，内容包括产品名称、有效成分含量、生产厂家、产品批次、施用地块、施用量、施用方法、施用时间、施用人等。</w:t>
      </w:r>
    </w:p>
    <w:p>
      <w:pPr>
        <w:pStyle w:val="105"/>
        <w:spacing w:before="156" w:after="156"/>
        <w:ind w:left="0"/>
      </w:pPr>
      <w:r>
        <w:rPr>
          <w:rFonts w:hint="eastAsia"/>
        </w:rPr>
        <w:t>农机具管理</w:t>
      </w:r>
    </w:p>
    <w:p>
      <w:pPr>
        <w:pStyle w:val="165"/>
        <w:ind w:left="0"/>
      </w:pPr>
      <w:r>
        <w:rPr>
          <w:rFonts w:hint="eastAsia"/>
        </w:rPr>
        <w:t>农机具应从合格供应商处购买合格产品，并建立台账（记录设备名称、设备型号、生产厂家、生产日期、购置时间、放置地点、环境条件要求管理人等信息），保存合同、发票、说明书、合格证等相关票据和资料。</w:t>
      </w:r>
    </w:p>
    <w:p>
      <w:pPr>
        <w:pStyle w:val="165"/>
        <w:ind w:left="0"/>
      </w:pPr>
      <w:r>
        <w:rPr>
          <w:rFonts w:hint="eastAsia"/>
        </w:rPr>
        <w:t>农机具应由专人，按相关设备的运维作业指导书进行使用和维护，并保留使用和维护记录，内容包括设备唯一性标识、设备名称、设备用途、环境条件、设备状况、使用时间、使用地点、使用人、维护时间、维护内容、维护人等。</w:t>
      </w:r>
    </w:p>
    <w:p>
      <w:pPr>
        <w:pStyle w:val="165"/>
        <w:ind w:left="0"/>
      </w:pPr>
      <w:r>
        <w:rPr>
          <w:rFonts w:hint="eastAsia"/>
        </w:rPr>
        <w:t>农机具管理人应定期组织性能检查，并保存相关记录。</w:t>
      </w:r>
    </w:p>
    <w:p>
      <w:pPr>
        <w:pStyle w:val="165"/>
        <w:ind w:left="0"/>
      </w:pPr>
      <w:r>
        <w:rPr>
          <w:rFonts w:hint="eastAsia"/>
        </w:rPr>
        <w:t>停用和淘汰的农机具应封存在专门场所，并加贴醒目的停用或淘汰标识，存在安全隐患的应设置危险警示标志和防护设施。</w:t>
      </w:r>
    </w:p>
    <w:p>
      <w:pPr>
        <w:pStyle w:val="104"/>
        <w:spacing w:before="312" w:after="312"/>
      </w:pPr>
      <w:bookmarkStart w:id="54" w:name="_Toc145493357"/>
      <w:bookmarkStart w:id="55" w:name="_Toc18285"/>
      <w:r>
        <w:rPr>
          <w:rFonts w:hint="eastAsia"/>
        </w:rPr>
        <w:t>技术要求</w:t>
      </w:r>
      <w:bookmarkEnd w:id="54"/>
      <w:bookmarkEnd w:id="55"/>
    </w:p>
    <w:bookmarkEnd w:id="16"/>
    <w:bookmarkEnd w:id="17"/>
    <w:bookmarkEnd w:id="18"/>
    <w:bookmarkEnd w:id="19"/>
    <w:bookmarkEnd w:id="20"/>
    <w:bookmarkEnd w:id="21"/>
    <w:bookmarkEnd w:id="22"/>
    <w:bookmarkEnd w:id="23"/>
    <w:bookmarkEnd w:id="24"/>
    <w:bookmarkEnd w:id="36"/>
    <w:p>
      <w:pPr>
        <w:pStyle w:val="105"/>
        <w:spacing w:before="156" w:after="156"/>
        <w:ind w:left="0"/>
      </w:pPr>
      <w:bookmarkStart w:id="56" w:name="_Hlk112327939"/>
      <w:r>
        <w:rPr>
          <w:rFonts w:hint="eastAsia"/>
        </w:rPr>
        <w:t>果园建立</w:t>
      </w:r>
    </w:p>
    <w:p>
      <w:pPr>
        <w:pStyle w:val="165"/>
        <w:ind w:left="0"/>
      </w:pPr>
      <w:r>
        <w:t>果园土壤环境质量、环境空气质量和灌溉水质应分别符合</w:t>
      </w:r>
      <w:r>
        <w:rPr>
          <w:rFonts w:hint="eastAsia"/>
        </w:rPr>
        <w:t>NY/T 395</w:t>
      </w:r>
      <w:r>
        <w:t>、GB 3095和GB 5084的要求。</w:t>
      </w:r>
    </w:p>
    <w:p>
      <w:pPr>
        <w:pStyle w:val="165"/>
        <w:ind w:left="0"/>
      </w:pPr>
      <w:r>
        <w:t>有充足水源</w:t>
      </w:r>
      <w:r>
        <w:rPr>
          <w:rFonts w:hint="eastAsia"/>
        </w:rPr>
        <w:t>，</w:t>
      </w:r>
      <w:r>
        <w:t>土壤深厚、肥沃、透气性好</w:t>
      </w:r>
      <w:r>
        <w:rPr>
          <w:rFonts w:hint="eastAsia"/>
        </w:rPr>
        <w:t>，以有机质含量1%以上，土壤含盐量小于0.3%，pH6.0～8.0为宜</w:t>
      </w:r>
      <w:r>
        <w:t>。</w:t>
      </w:r>
    </w:p>
    <w:p>
      <w:pPr>
        <w:pStyle w:val="165"/>
        <w:ind w:left="0"/>
      </w:pPr>
      <w:r>
        <w:t>配置授粉树</w:t>
      </w:r>
      <w:r>
        <w:rPr>
          <w:rFonts w:hint="eastAsia"/>
        </w:rPr>
        <w:t>以雪花梨或鸭树为宜</w:t>
      </w:r>
      <w:r>
        <w:t>。</w:t>
      </w:r>
    </w:p>
    <w:p>
      <w:pPr>
        <w:pStyle w:val="105"/>
        <w:spacing w:before="156" w:after="156"/>
        <w:ind w:left="0"/>
      </w:pPr>
      <w:r>
        <w:rPr>
          <w:rFonts w:hint="eastAsia"/>
        </w:rPr>
        <w:t>土壤管理</w:t>
      </w:r>
    </w:p>
    <w:p>
      <w:pPr>
        <w:pStyle w:val="165"/>
        <w:numPr>
          <w:ilvl w:val="0"/>
          <w:numId w:val="0"/>
        </w:numPr>
        <w:ind w:firstLine="420" w:firstLineChars="200"/>
      </w:pPr>
      <w:r>
        <w:t>栽植前进行土壤深翻，如需土壤改良，可结合进行。栽植后进行果园生草或</w:t>
      </w:r>
      <w:r>
        <w:rPr>
          <w:strike/>
          <w:u w:val="single"/>
        </w:rPr>
        <w:t>果园</w:t>
      </w:r>
      <w:r>
        <w:t>覆盖。果园生草</w:t>
      </w:r>
      <w:r>
        <w:rPr>
          <w:rFonts w:hint="eastAsia"/>
        </w:rPr>
        <w:t>宜</w:t>
      </w:r>
      <w:r>
        <w:t>采用行间生草。所选草种应对梨树生长结果无明显不良影响，且与梨树无共同的病虫害，如三叶草、</w:t>
      </w:r>
      <w:r>
        <w:rPr>
          <w:rFonts w:hint="eastAsia"/>
        </w:rPr>
        <w:t>毛叶苕子、扁叶黄芪</w:t>
      </w:r>
      <w:r>
        <w:t>等。生草果园应注意补肥补水、及时刈割和翻压。</w:t>
      </w:r>
    </w:p>
    <w:p>
      <w:pPr>
        <w:pStyle w:val="105"/>
        <w:spacing w:before="156" w:after="156"/>
        <w:ind w:left="0"/>
      </w:pPr>
      <w:r>
        <w:rPr>
          <w:rFonts w:hint="eastAsia"/>
        </w:rPr>
        <w:t>水分管理</w:t>
      </w:r>
    </w:p>
    <w:p>
      <w:pPr>
        <w:pStyle w:val="165"/>
        <w:ind w:left="0"/>
      </w:pPr>
      <w:r>
        <w:rPr>
          <w:rFonts w:hint="eastAsia"/>
        </w:rPr>
        <w:t>灌水通常在展叶期、新梢迅速生长期、果实迅速膨大期和果园封冻前进行，其他时期灌水应根据土壤墒情而定。灌水量以使土壤含水量达到田间持水量的60%～80%为宜。灌水宜采用微喷灌、滴灌等节水灌溉措施。果实采收前半个月内应停止灌水。</w:t>
      </w:r>
    </w:p>
    <w:p>
      <w:pPr>
        <w:pStyle w:val="165"/>
        <w:ind w:left="0"/>
      </w:pPr>
      <w:r>
        <w:rPr>
          <w:rFonts w:hint="eastAsia"/>
        </w:rPr>
        <w:t>雨季，当果园出现积水时，应及时利用排水设施进行排水。</w:t>
      </w:r>
    </w:p>
    <w:p>
      <w:pPr>
        <w:pStyle w:val="105"/>
        <w:spacing w:before="156" w:after="156"/>
        <w:ind w:left="0"/>
      </w:pPr>
      <w:r>
        <w:rPr>
          <w:rFonts w:hint="eastAsia"/>
        </w:rPr>
        <w:t>施肥管理</w:t>
      </w:r>
    </w:p>
    <w:p>
      <w:pPr>
        <w:pStyle w:val="165"/>
        <w:ind w:left="0"/>
      </w:pPr>
      <w:r>
        <w:rPr>
          <w:rFonts w:hint="eastAsia"/>
        </w:rPr>
        <w:t>施肥类型包括有机肥和化肥，不施用含氯肥料及垃圾、粉煤灰、污泥等。有机肥应腐熟，肥料有毒有害物质限量应符合GB 38400的规定。</w:t>
      </w:r>
    </w:p>
    <w:p>
      <w:pPr>
        <w:pStyle w:val="165"/>
        <w:ind w:left="0"/>
      </w:pPr>
      <w:r>
        <w:rPr>
          <w:rFonts w:hint="eastAsia"/>
        </w:rPr>
        <w:t>施肥宜在测土配方的基础上进行，分为基肥和追肥。结合整地，施入基肥，</w:t>
      </w:r>
      <w:r>
        <w:t>基肥以有机肥为主，配合少量化肥</w:t>
      </w:r>
      <w:r>
        <w:rPr>
          <w:rFonts w:hint="eastAsia"/>
        </w:rPr>
        <w:t>，</w:t>
      </w:r>
      <w:r>
        <w:t>幼树园</w:t>
      </w:r>
      <w:r>
        <w:rPr>
          <w:rFonts w:hint="eastAsia"/>
        </w:rPr>
        <w:t>每株施用</w:t>
      </w:r>
      <w:r>
        <w:t>优质有机肥</w:t>
      </w:r>
      <w:r>
        <w:rPr>
          <w:rFonts w:hint="eastAsia"/>
        </w:rPr>
        <w:t>25 kg～50 kg</w:t>
      </w:r>
      <w:r>
        <w:t>，结果园产量</w:t>
      </w:r>
      <w:r>
        <w:rPr>
          <w:rFonts w:hint="eastAsia"/>
        </w:rPr>
        <w:t>50 kg～100 kg，也可按“斤果斤肥”的比例来施用。</w:t>
      </w:r>
    </w:p>
    <w:p>
      <w:pPr>
        <w:pStyle w:val="165"/>
        <w:ind w:left="0"/>
      </w:pPr>
      <w:r>
        <w:rPr>
          <w:rFonts w:hint="eastAsia"/>
        </w:rPr>
        <w:t>追肥应根据土壤肥力和生长状况确定时间，一般在落花后和果实膨大期追肥。落花后施入全年氮肥用量的</w:t>
      </w:r>
      <w:r>
        <w:t>20%和全年钾肥用量的60%。果实膨大期施入全年钾肥用量的40%和全年氮肥用量的10%。其他时间根据具体情况，采用根外追肥补充营养需求。</w:t>
      </w:r>
    </w:p>
    <w:p>
      <w:pPr>
        <w:pStyle w:val="105"/>
        <w:spacing w:before="156" w:after="156"/>
        <w:ind w:left="0"/>
      </w:pPr>
      <w:r>
        <w:rPr>
          <w:rFonts w:hint="eastAsia"/>
        </w:rPr>
        <w:t>树体管理</w:t>
      </w:r>
    </w:p>
    <w:p>
      <w:pPr>
        <w:pStyle w:val="165"/>
        <w:ind w:left="0"/>
      </w:pPr>
      <w:r>
        <w:t>常用树形有</w:t>
      </w:r>
      <w:r>
        <w:rPr>
          <w:rFonts w:hint="eastAsia"/>
        </w:rPr>
        <w:t>多主干开心</w:t>
      </w:r>
      <w:r>
        <w:t>形、</w:t>
      </w:r>
      <w:r>
        <w:rPr>
          <w:rFonts w:hint="eastAsia"/>
        </w:rPr>
        <w:t>“Y”字形</w:t>
      </w:r>
      <w:r>
        <w:t>、小冠疏层形等。</w:t>
      </w:r>
    </w:p>
    <w:p>
      <w:pPr>
        <w:pStyle w:val="165"/>
        <w:ind w:left="0"/>
      </w:pPr>
      <w:r>
        <w:t>幼树期以培养树形</w:t>
      </w:r>
      <w:r>
        <w:rPr>
          <w:rFonts w:hint="eastAsia"/>
        </w:rPr>
        <w:t>骨架</w:t>
      </w:r>
      <w:r>
        <w:t>为主要目标。初果期以培养健壮结果枝组为主要目标。盛果期以维持树形和稳产优质为主要目标。衰老期以更新复壮为主要目标。</w:t>
      </w:r>
    </w:p>
    <w:p>
      <w:pPr>
        <w:pStyle w:val="165"/>
        <w:ind w:left="0"/>
      </w:pPr>
      <w:r>
        <w:t>休眠期应主要采用短截、回缩、疏枝、缓放等修剪技术。生长期应主要采用刻芽、抹芽、摘心、扭梢、拿枝、拉枝、疏梢等修剪技术。</w:t>
      </w:r>
    </w:p>
    <w:p>
      <w:pPr>
        <w:pStyle w:val="105"/>
        <w:spacing w:before="156" w:after="156"/>
        <w:ind w:left="0"/>
      </w:pPr>
      <w:r>
        <w:rPr>
          <w:rFonts w:hint="eastAsia"/>
        </w:rPr>
        <w:t>花果管理</w:t>
      </w:r>
    </w:p>
    <w:p>
      <w:pPr>
        <w:pStyle w:val="165"/>
        <w:ind w:left="0"/>
      </w:pPr>
      <w:r>
        <w:t>采用人工授粉、放蜂授粉等技术进行辅助授粉，提高授粉质量和座果率。</w:t>
      </w:r>
    </w:p>
    <w:p>
      <w:pPr>
        <w:pStyle w:val="165"/>
        <w:ind w:left="0"/>
      </w:pPr>
      <w:r>
        <w:t>在花序分离期至幼果期，根据合理负载量适时进行疏花疏果。疏花疏果时，应疏除过多、过密的花/花序以及病虫果、畸形果等果实</w:t>
      </w:r>
      <w:r>
        <w:rPr>
          <w:rFonts w:hint="eastAsia"/>
        </w:rPr>
        <w:t>，控制好全树留果量。</w:t>
      </w:r>
    </w:p>
    <w:p>
      <w:pPr>
        <w:pStyle w:val="165"/>
        <w:ind w:left="0"/>
      </w:pPr>
      <w:r>
        <w:rPr>
          <w:rFonts w:hint="eastAsia"/>
        </w:rPr>
        <w:t>实行全园所有果实套袋，套袋前1 d将果袋预湿、返潮使之柔韧。单株套袋顺序为先上后下，先里后外。套袋时，使果柄置于袋口开口基部“纵切口中”，果实处于袋子的中央，果实在袋内悬空，避免袋体摩擦果面。</w:t>
      </w:r>
    </w:p>
    <w:p>
      <w:pPr>
        <w:pStyle w:val="105"/>
        <w:spacing w:before="156" w:after="156"/>
        <w:ind w:left="0"/>
      </w:pPr>
      <w:r>
        <w:rPr>
          <w:rFonts w:hint="eastAsia"/>
        </w:rPr>
        <w:t>果实采收</w:t>
      </w:r>
    </w:p>
    <w:p>
      <w:pPr>
        <w:pStyle w:val="165"/>
        <w:ind w:left="0"/>
      </w:pPr>
      <w:r>
        <w:rPr>
          <w:rFonts w:hint="eastAsia"/>
        </w:rPr>
        <w:t>应根据采后用途、运输距离、贮藏方式等对果实成熟度的要求确定适宜采收期。果实成熟度应根据果实外观、果实发育期、果实理化指标等综合确定。成熟度不一致的品种应分批采收。</w:t>
      </w:r>
    </w:p>
    <w:p>
      <w:pPr>
        <w:pStyle w:val="165"/>
        <w:ind w:left="0"/>
      </w:pPr>
      <w:r>
        <w:t>应避免雨天采收和雨后立即采收。如遇雨天，应在停雨1</w:t>
      </w:r>
      <w:r>
        <w:rPr>
          <w:rFonts w:hint="eastAsia"/>
        </w:rPr>
        <w:t xml:space="preserve"> </w:t>
      </w:r>
      <w:r>
        <w:t>d～2</w:t>
      </w:r>
      <w:r>
        <w:rPr>
          <w:rFonts w:hint="eastAsia"/>
        </w:rPr>
        <w:t xml:space="preserve"> </w:t>
      </w:r>
      <w:r>
        <w:t>d后采收。采收应在晴天露水已干的凉爽时段进行。午后采收的</w:t>
      </w:r>
      <w:r>
        <w:rPr>
          <w:rFonts w:hint="eastAsia"/>
        </w:rPr>
        <w:t>梨</w:t>
      </w:r>
      <w:r>
        <w:t>应放置一夜，</w:t>
      </w:r>
      <w:r>
        <w:rPr>
          <w:rFonts w:hint="eastAsia"/>
        </w:rPr>
        <w:t>次日清晨</w:t>
      </w:r>
      <w:r>
        <w:t>入库或装运，以有效降低田间热。</w:t>
      </w:r>
    </w:p>
    <w:p>
      <w:pPr>
        <w:pStyle w:val="165"/>
        <w:ind w:left="0"/>
      </w:pPr>
      <w:r>
        <w:rPr>
          <w:rFonts w:hint="eastAsia"/>
        </w:rPr>
        <w:t>采收人员应健康、卫生。采收工具应清洁、卫生、安全。采收过程应文明操作，轻摘、轻放、轻装、轻卸，避免造成机械损伤。</w:t>
      </w:r>
    </w:p>
    <w:p>
      <w:pPr>
        <w:pStyle w:val="165"/>
        <w:ind w:left="0"/>
      </w:pPr>
      <w:r>
        <w:rPr>
          <w:rFonts w:hint="eastAsia"/>
        </w:rPr>
        <w:t>采后处理过程应避免对果实造成机械损伤。</w:t>
      </w:r>
    </w:p>
    <w:p>
      <w:pPr>
        <w:pStyle w:val="165"/>
        <w:ind w:left="0"/>
      </w:pPr>
      <w:r>
        <w:rPr>
          <w:rFonts w:hint="eastAsia"/>
        </w:rPr>
        <w:t>直接接触梨的人员应进行卫生手消毒。</w:t>
      </w:r>
    </w:p>
    <w:p>
      <w:pPr>
        <w:pStyle w:val="105"/>
        <w:spacing w:before="156" w:after="156"/>
        <w:ind w:left="0"/>
      </w:pPr>
      <w:bookmarkStart w:id="57" w:name="_Toc110239466"/>
      <w:r>
        <w:rPr>
          <w:rFonts w:hint="eastAsia"/>
        </w:rPr>
        <w:t>包装、贮存和运输</w:t>
      </w:r>
      <w:bookmarkEnd w:id="57"/>
      <w:r>
        <w:rPr>
          <w:rFonts w:hint="eastAsia"/>
        </w:rPr>
        <w:t>管理</w:t>
      </w:r>
    </w:p>
    <w:p>
      <w:pPr>
        <w:pStyle w:val="65"/>
        <w:spacing w:before="156" w:after="156"/>
        <w:ind w:left="0"/>
      </w:pPr>
      <w:r>
        <w:rPr>
          <w:rFonts w:hint="eastAsia"/>
        </w:rPr>
        <w:t>包装</w:t>
      </w:r>
    </w:p>
    <w:p>
      <w:pPr>
        <w:pStyle w:val="56"/>
        <w:ind w:firstLine="420"/>
      </w:pPr>
      <w:r>
        <w:rPr>
          <w:rFonts w:hint="eastAsia"/>
        </w:rPr>
        <w:t>采用塑料袋或纸箱包装，包装材料要求应符合NY/T 658要求。</w:t>
      </w:r>
    </w:p>
    <w:p>
      <w:pPr>
        <w:pStyle w:val="65"/>
        <w:spacing w:before="156" w:after="156"/>
        <w:ind w:left="0"/>
      </w:pPr>
      <w:r>
        <w:rPr>
          <w:rFonts w:hint="eastAsia"/>
        </w:rPr>
        <w:t>贮存</w:t>
      </w:r>
    </w:p>
    <w:p>
      <w:pPr>
        <w:pStyle w:val="56"/>
        <w:ind w:firstLine="420"/>
      </w:pPr>
      <w:r>
        <w:t>梨入库前应对贮藏库进行消毒杀菌和通风换气。入贮前，</w:t>
      </w:r>
      <w:r>
        <w:rPr>
          <w:rFonts w:hint="eastAsia"/>
        </w:rPr>
        <w:t>冷库</w:t>
      </w:r>
      <w:r>
        <w:t>温度应提前</w:t>
      </w:r>
      <w:r>
        <w:rPr>
          <w:rFonts w:hint="eastAsia"/>
        </w:rPr>
        <w:t xml:space="preserve">1 </w:t>
      </w:r>
      <w:r>
        <w:t>d～</w:t>
      </w:r>
      <w:r>
        <w:rPr>
          <w:rFonts w:hint="eastAsia"/>
        </w:rPr>
        <w:t xml:space="preserve">2 </w:t>
      </w:r>
      <w:r>
        <w:t>d预先降至-2</w:t>
      </w:r>
      <w:r>
        <w:rPr>
          <w:rFonts w:hint="eastAsia"/>
        </w:rPr>
        <w:t xml:space="preserve"> </w:t>
      </w:r>
      <w:r>
        <w:rPr>
          <w:rFonts w:hint="eastAsia" w:hAnsi="宋体" w:cs="宋体"/>
        </w:rPr>
        <w:t>℃</w:t>
      </w:r>
      <w:r>
        <w:t>～0</w:t>
      </w:r>
      <w:r>
        <w:rPr>
          <w:rFonts w:hint="eastAsia"/>
        </w:rPr>
        <w:t xml:space="preserve"> </w:t>
      </w:r>
      <w:r>
        <w:rPr>
          <w:rFonts w:hint="eastAsia" w:hAnsi="宋体" w:cs="宋体"/>
        </w:rPr>
        <w:t>℃</w:t>
      </w:r>
      <w:r>
        <w:t>。</w:t>
      </w:r>
      <w:r>
        <w:rPr>
          <w:rFonts w:hint="eastAsia"/>
        </w:rPr>
        <w:t>合理堆码保证库内空气正常流通。产品贮存条件应符合NY/T 1056要求。贮藏期间，应选择代表性测点进行定时监测，并保存监测记录。</w:t>
      </w:r>
    </w:p>
    <w:p>
      <w:pPr>
        <w:pStyle w:val="65"/>
        <w:spacing w:before="156" w:after="156"/>
        <w:ind w:left="0"/>
      </w:pPr>
      <w:r>
        <w:rPr>
          <w:rFonts w:hint="eastAsia"/>
        </w:rPr>
        <w:t>运输</w:t>
      </w:r>
    </w:p>
    <w:p>
      <w:pPr>
        <w:pStyle w:val="56"/>
        <w:ind w:firstLine="420"/>
      </w:pPr>
      <w:r>
        <w:rPr>
          <w:rFonts w:hint="eastAsia"/>
        </w:rPr>
        <w:t>不经储存直接长途运输的梨运输前应进行预冷，长途运输宜使用冷藏车辆进行运输，冷藏车厢内温度应控制产品温度在0 ℃～5 ℃。装卸时应轻拿轻放，严防机械损伤。产品运输条件应符合NY/T 1056要求。长途运输过程中应采取必要的保湿措施，并进行通风换气；应对运输温度和湿度进行监测记录。</w:t>
      </w:r>
    </w:p>
    <w:p>
      <w:pPr>
        <w:pStyle w:val="104"/>
        <w:spacing w:before="312" w:after="312"/>
      </w:pPr>
      <w:bookmarkStart w:id="58" w:name="_Toc17452"/>
      <w:bookmarkStart w:id="59" w:name="_Toc145493358"/>
      <w:r>
        <w:rPr>
          <w:rFonts w:hint="eastAsia"/>
        </w:rPr>
        <w:t>产品质量管理</w:t>
      </w:r>
      <w:bookmarkEnd w:id="58"/>
      <w:bookmarkEnd w:id="59"/>
    </w:p>
    <w:p>
      <w:pPr>
        <w:pStyle w:val="105"/>
        <w:spacing w:before="156" w:after="156"/>
        <w:ind w:left="0"/>
      </w:pPr>
      <w:r>
        <w:rPr>
          <w:rFonts w:hint="eastAsia"/>
        </w:rPr>
        <w:t>产品抽检</w:t>
      </w:r>
    </w:p>
    <w:p>
      <w:pPr>
        <w:pStyle w:val="165"/>
        <w:ind w:left="0"/>
        <w:rPr>
          <w:rFonts w:hAnsi="宋体"/>
        </w:rPr>
      </w:pPr>
      <w:r>
        <w:rPr>
          <w:rFonts w:hint="eastAsia"/>
        </w:rPr>
        <w:t>产品上市销售前应进行抽检。抽样方法可参照NY/T 896规定执行。</w:t>
      </w:r>
      <w:r>
        <w:rPr>
          <w:rFonts w:hint="eastAsia" w:hAnsi="宋体"/>
        </w:rPr>
        <w:t>品质检验应按相关产品标准的规定进行</w:t>
      </w:r>
      <w:r>
        <w:rPr>
          <w:rFonts w:hint="eastAsia"/>
        </w:rPr>
        <w:t>，如GB/T 5009.10、GB 5009.86等。</w:t>
      </w:r>
    </w:p>
    <w:p>
      <w:pPr>
        <w:pStyle w:val="165"/>
        <w:ind w:left="0"/>
      </w:pPr>
      <w:r>
        <w:rPr>
          <w:rFonts w:hint="eastAsia"/>
        </w:rPr>
        <w:t>梨中污染物和农药残留的检验应分别按GB 2762和GB 2763的规定进行。农药残留检验参数应根据农药使用情况和GB 2763规定综合确定。</w:t>
      </w:r>
    </w:p>
    <w:p>
      <w:pPr>
        <w:pStyle w:val="165"/>
        <w:ind w:left="0"/>
      </w:pPr>
      <w:r>
        <w:rPr>
          <w:rFonts w:hint="eastAsia"/>
        </w:rPr>
        <w:t>应保留抽样记录和样品检验记录。抽样记录应包括品种名称、产品批次、抽样日期、抽样区域、抽样方法、抽样数量、样品状况、样品编号、抽样人等。</w:t>
      </w:r>
    </w:p>
    <w:p>
      <w:pPr>
        <w:pStyle w:val="105"/>
        <w:spacing w:before="156" w:after="156"/>
        <w:ind w:left="0"/>
      </w:pPr>
      <w:r>
        <w:rPr>
          <w:rFonts w:hint="eastAsia"/>
        </w:rPr>
        <w:t>可追溯体系</w:t>
      </w:r>
    </w:p>
    <w:p>
      <w:pPr>
        <w:pStyle w:val="165"/>
        <w:ind w:left="0"/>
      </w:pPr>
      <w:r>
        <w:rPr>
          <w:rFonts w:hint="eastAsia"/>
        </w:rPr>
        <w:t>应建立可追溯体系，生产批号作为生产过程各项记录的唯一编码，包括种植产地、产品名称、田块号等信息内容。</w:t>
      </w:r>
    </w:p>
    <w:p>
      <w:pPr>
        <w:pStyle w:val="165"/>
        <w:ind w:left="0"/>
      </w:pPr>
      <w:r>
        <w:rPr>
          <w:rFonts w:hint="eastAsia"/>
        </w:rPr>
        <w:t>应保留梨生产全过程原始凭证和记录文件，各类记录应保存2年以上。</w:t>
      </w:r>
    </w:p>
    <w:p>
      <w:pPr>
        <w:pStyle w:val="105"/>
        <w:spacing w:before="156" w:after="156"/>
        <w:ind w:left="0"/>
      </w:pPr>
      <w:r>
        <w:rPr>
          <w:rFonts w:hint="eastAsia"/>
        </w:rPr>
        <w:t>投诉处理</w:t>
      </w:r>
    </w:p>
    <w:p>
      <w:pPr>
        <w:pStyle w:val="165"/>
        <w:ind w:left="0"/>
      </w:pPr>
      <w:r>
        <w:rPr>
          <w:rFonts w:hint="eastAsia"/>
        </w:rPr>
        <w:t>建立产品投诉处理制度。</w:t>
      </w:r>
    </w:p>
    <w:p>
      <w:pPr>
        <w:pStyle w:val="165"/>
        <w:ind w:left="0"/>
      </w:pPr>
      <w:r>
        <w:rPr>
          <w:rFonts w:hint="eastAsia"/>
        </w:rPr>
        <w:t>对产品的意见反馈及有效投诉，应立即追查原因，采取相应纠正措施，并建立档案记录。</w:t>
      </w:r>
    </w:p>
    <w:p>
      <w:pPr>
        <w:pStyle w:val="105"/>
        <w:spacing w:before="156" w:after="156"/>
        <w:ind w:left="0"/>
      </w:pPr>
      <w:bookmarkStart w:id="60" w:name="_Toc22912"/>
      <w:bookmarkStart w:id="61" w:name="_Toc13160"/>
      <w:r>
        <w:rPr>
          <w:rFonts w:hint="eastAsia"/>
        </w:rPr>
        <w:t>内部自查</w:t>
      </w:r>
      <w:bookmarkEnd w:id="60"/>
      <w:bookmarkEnd w:id="61"/>
    </w:p>
    <w:p>
      <w:pPr>
        <w:pStyle w:val="162"/>
        <w:numPr>
          <w:ilvl w:val="0"/>
          <w:numId w:val="0"/>
        </w:numPr>
        <w:ind w:firstLine="420" w:firstLineChars="200"/>
      </w:pPr>
      <w:r>
        <w:rPr>
          <w:rFonts w:hint="eastAsia"/>
        </w:rPr>
        <w:t>应按照本规范要求建立自查规程和自查表，至少每年进行1次内部自查，并保存相关记录。应根据内部自查结果，对发现的问题及时进行整改，并完善相关制度。</w:t>
      </w:r>
      <w:bookmarkEnd w:id="56"/>
    </w:p>
    <w:p>
      <w:pPr>
        <w:pStyle w:val="104"/>
        <w:spacing w:before="312" w:after="312"/>
      </w:pPr>
      <w:bookmarkStart w:id="62" w:name="_Toc145493359"/>
      <w:r>
        <w:rPr>
          <w:rFonts w:hint="eastAsia"/>
        </w:rPr>
        <w:t>病虫害控制</w:t>
      </w:r>
      <w:bookmarkEnd w:id="62"/>
    </w:p>
    <w:p>
      <w:pPr>
        <w:pStyle w:val="105"/>
        <w:spacing w:before="156" w:after="156"/>
        <w:ind w:left="0"/>
      </w:pPr>
      <w:r>
        <w:rPr>
          <w:rFonts w:hint="eastAsia"/>
        </w:rPr>
        <w:t>防治原则</w:t>
      </w:r>
    </w:p>
    <w:p>
      <w:pPr>
        <w:pStyle w:val="56"/>
        <w:ind w:firstLine="420"/>
      </w:pPr>
      <w:r>
        <w:rPr>
          <w:rFonts w:hint="eastAsia"/>
        </w:rPr>
        <w:t>在优先采用农业防治的基础上，协调运用物理防治、生物防治、化学防治来控制病虫害的发生。</w:t>
      </w:r>
    </w:p>
    <w:p>
      <w:pPr>
        <w:pStyle w:val="105"/>
        <w:spacing w:before="156" w:after="156"/>
        <w:ind w:left="0"/>
      </w:pPr>
      <w:r>
        <w:rPr>
          <w:rFonts w:hint="eastAsia"/>
        </w:rPr>
        <w:t>防止</w:t>
      </w:r>
      <w:r>
        <w:t>方法</w:t>
      </w:r>
    </w:p>
    <w:p>
      <w:pPr>
        <w:pStyle w:val="65"/>
        <w:spacing w:before="156" w:after="156"/>
        <w:ind w:left="0"/>
      </w:pPr>
      <w:r>
        <w:rPr>
          <w:rFonts w:hint="eastAsia"/>
        </w:rPr>
        <w:t>农业防治</w:t>
      </w:r>
    </w:p>
    <w:p>
      <w:pPr>
        <w:pStyle w:val="56"/>
        <w:ind w:firstLine="420"/>
      </w:pPr>
      <w:r>
        <w:rPr>
          <w:rFonts w:hint="eastAsia"/>
        </w:rPr>
        <w:t>采取剪除病虫枝、摘除病僵果、清除枯枝落叶、刮除树干翘裂皮、翻树盘、地面秸秆覆盖、科学施肥、果实套袋、保持树冠通风透光等措施抑制病虫害发生。</w:t>
      </w:r>
    </w:p>
    <w:p>
      <w:pPr>
        <w:pStyle w:val="65"/>
        <w:spacing w:before="156" w:after="156"/>
        <w:ind w:left="0"/>
      </w:pPr>
      <w:r>
        <w:rPr>
          <w:rFonts w:hint="eastAsia"/>
        </w:rPr>
        <w:t>物理防治</w:t>
      </w:r>
    </w:p>
    <w:p>
      <w:pPr>
        <w:pStyle w:val="56"/>
        <w:ind w:firstLine="420"/>
      </w:pPr>
      <w:r>
        <w:rPr>
          <w:rFonts w:hint="eastAsia"/>
        </w:rPr>
        <w:t>利用害虫趋光性，用黑光灯、杀虫灯等诱杀害虫。利用害虫趋化性，用糖醋液诱杀梨小食心虫、金龟子、卷叶蛾等害虫。利用害虫越冬习性，树干绑缚草、破布、集虫板等诱集和消灭害虫。入冬前树干涂白兼治枝干病虫害。</w:t>
      </w:r>
    </w:p>
    <w:p>
      <w:pPr>
        <w:pStyle w:val="65"/>
        <w:spacing w:before="156" w:after="156"/>
        <w:ind w:left="0"/>
      </w:pPr>
      <w:r>
        <w:rPr>
          <w:rFonts w:hint="eastAsia"/>
        </w:rPr>
        <w:t>生物防治</w:t>
      </w:r>
    </w:p>
    <w:p>
      <w:pPr>
        <w:pStyle w:val="56"/>
        <w:ind w:firstLine="420"/>
      </w:pPr>
      <w:r>
        <w:t>利用天敌昆虫、微生物、昆虫性外激素（即性诱剂）和生物源农药进行病虫害防治。</w:t>
      </w:r>
    </w:p>
    <w:p>
      <w:pPr>
        <w:pStyle w:val="65"/>
        <w:spacing w:before="156" w:after="156"/>
        <w:ind w:left="0"/>
      </w:pPr>
      <w:r>
        <w:rPr>
          <w:rFonts w:hint="eastAsia"/>
        </w:rPr>
        <w:t>化学防治</w:t>
      </w:r>
    </w:p>
    <w:p>
      <w:pPr>
        <w:pStyle w:val="56"/>
        <w:ind w:firstLine="420"/>
      </w:pPr>
      <w:r>
        <w:rPr>
          <w:rFonts w:hint="eastAsia"/>
        </w:rPr>
        <w:t>禁止使用国家</w:t>
      </w:r>
      <w:r>
        <w:rPr>
          <w:rFonts w:hint="eastAsia"/>
          <w:lang w:val="en-US" w:eastAsia="zh-CN"/>
        </w:rPr>
        <w:t>明令</w:t>
      </w:r>
      <w:r>
        <w:rPr>
          <w:rFonts w:hint="eastAsia"/>
        </w:rPr>
        <w:t>禁止的高毒、剧毒农药。轮换、交替用药，应严格按照农药标签注明的防治对象、施用浓度、施用方法、安全间隔期等要求施用。农药剂型宜选用水剂、水乳剂、微乳剂和水分散粒剂等环境友好型剂型。禁止</w:t>
      </w:r>
      <w:r>
        <w:t>使用的农</w:t>
      </w:r>
      <w:r>
        <w:rPr>
          <w:rFonts w:hint="eastAsia"/>
        </w:rPr>
        <w:t>药详见</w:t>
      </w:r>
      <w:r>
        <w:t>附录</w:t>
      </w:r>
      <w:r>
        <w:rPr>
          <w:rFonts w:hint="eastAsia"/>
        </w:rPr>
        <w:t>A。</w:t>
      </w:r>
    </w:p>
    <w:p>
      <w:pPr>
        <w:pStyle w:val="104"/>
        <w:numPr>
          <w:ilvl w:val="1"/>
          <w:numId w:val="32"/>
        </w:numPr>
        <w:spacing w:before="312" w:after="312"/>
        <w:ind w:left="0"/>
        <w:sectPr>
          <w:headerReference r:id="rId19" w:type="default"/>
          <w:footerReference r:id="rId21" w:type="default"/>
          <w:headerReference r:id="rId20" w:type="even"/>
          <w:footerReference r:id="rId22" w:type="even"/>
          <w:pgSz w:w="11906" w:h="16838"/>
          <w:pgMar w:top="567" w:right="1134" w:bottom="142" w:left="1134" w:header="1418" w:footer="1134" w:gutter="284"/>
          <w:pgNumType w:start="1"/>
          <w:cols w:space="425" w:num="1"/>
          <w:formProt w:val="0"/>
          <w:docGrid w:type="lines" w:linePitch="312" w:charSpace="0"/>
        </w:sectPr>
      </w:pPr>
    </w:p>
    <w:bookmarkEnd w:id="13"/>
    <w:p>
      <w:pPr>
        <w:pStyle w:val="198"/>
      </w:pPr>
      <w:bookmarkStart w:id="63" w:name="BookMark5"/>
      <w:bookmarkStart w:id="66" w:name="_GoBack"/>
      <w:bookmarkEnd w:id="66"/>
    </w:p>
    <w:p>
      <w:pPr>
        <w:pStyle w:val="199"/>
      </w:pPr>
    </w:p>
    <w:p>
      <w:pPr>
        <w:pStyle w:val="76"/>
        <w:spacing w:before="78" w:after="156"/>
      </w:pPr>
      <w:r>
        <w:br w:type="textWrapping"/>
      </w:r>
      <w:bookmarkStart w:id="64" w:name="_Toc145493360"/>
      <w:r>
        <w:rPr>
          <w:rFonts w:hint="eastAsia"/>
        </w:rPr>
        <w:t>（资料性）</w:t>
      </w:r>
      <w:r>
        <w:br w:type="textWrapping"/>
      </w:r>
      <w:r>
        <w:rPr>
          <w:rFonts w:hint="eastAsia"/>
        </w:rPr>
        <w:t>梨上禁止使用的农药</w:t>
      </w:r>
      <w:bookmarkEnd w:id="64"/>
    </w:p>
    <w:p>
      <w:pPr>
        <w:pStyle w:val="56"/>
        <w:ind w:firstLine="420"/>
      </w:pPr>
      <w:r>
        <w:rPr>
          <w:rFonts w:hint="eastAsia"/>
        </w:rPr>
        <w:t>梨上禁止使用的农药包括：2, 4-滴丁酯、艾氏剂、胺苯磺隆、八氯二丙醚（农药增效剂）、百草枯水剂、苯线磷、除草醚、狄氏剂、滴滴涕、敌枯双、地虫硫磷、丁硫克百威、毒杀芬、毒鼠硅、毒鼠强、对硫磷、二溴氯丙烷、二溴乙烷、氟虫胺、氟虫腈、氟乙酸钠、氟乙酰胺、福美胂、福美甲胂、甘氟、汞制剂、甲胺磷、甲拌磷、甲磺隆、甲基对硫磷、甲基硫环磷、甲基异柳磷、久效磷、克百威、乐果、磷胺、磷化钙、磷化铝（采用内外双层包装的产品除外）、磷化镁、磷化锌、硫丹、硫环磷、硫线磷、六六六、氯化苦（土壤熏蒸除外）、氯磺隆、氯唑磷、灭多威、灭线磷、内吸磷、铅类、三氯杀螨醇、杀虫脒、砷类、特丁硫磷、涕灭威、溴甲烷、乙酰甲胺磷、蝇毒磷、治螟磷。</w:t>
      </w:r>
    </w:p>
    <w:bookmarkEnd w:id="63"/>
    <w:p>
      <w:pPr>
        <w:pStyle w:val="56"/>
        <w:ind w:firstLine="420"/>
        <w:jc w:val="center"/>
      </w:pPr>
      <w:bookmarkStart w:id="65"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headerReference r:id="rId23" w:type="default"/>
      <w:footerReference r:id="rId25" w:type="default"/>
      <w:headerReference r:id="rId24" w:type="even"/>
      <w:footerReference r:id="rId26" w:type="even"/>
      <w:pgSz w:w="11906" w:h="16838"/>
      <w:pgMar w:top="567" w:right="1134" w:bottom="142"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r>
      <w:rPr>
        <w:sz w:val="2"/>
      </w:rPr>
      <w:pict>
        <v:shape id="_x0000_s2050" o:spid="_x0000_s2050"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30—2023</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30—2023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30—2023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30—2023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30—2023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30—2023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30—2023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30—2023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pStyle w:val="239"/>
      <w:lvlText w:val="%2)"/>
      <w:lvlJc w:val="left"/>
      <w:pPr>
        <w:tabs>
          <w:tab w:val="left" w:pos="840"/>
        </w:tabs>
        <w:ind w:left="840" w:hanging="420"/>
      </w:pPr>
    </w:lvl>
    <w:lvl w:ilvl="2" w:tentative="0">
      <w:start w:val="1"/>
      <w:numFmt w:val="lowerRoman"/>
      <w:pStyle w:val="238"/>
      <w:lvlText w:val="%3."/>
      <w:lvlJc w:val="right"/>
      <w:pPr>
        <w:tabs>
          <w:tab w:val="left" w:pos="1260"/>
        </w:tabs>
        <w:ind w:left="1260" w:hanging="420"/>
      </w:pPr>
    </w:lvl>
    <w:lvl w:ilvl="3" w:tentative="0">
      <w:start w:val="1"/>
      <w:numFmt w:val="decimal"/>
      <w:pStyle w:val="237"/>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426" w:firstLine="0"/>
      </w:pPr>
      <w:rPr>
        <w:rFonts w:hint="eastAsia" w:ascii="黑体" w:eastAsia="黑体"/>
        <w:b w:val="0"/>
        <w:i w:val="0"/>
        <w:sz w:val="21"/>
      </w:rPr>
    </w:lvl>
    <w:lvl w:ilvl="4" w:tentative="0">
      <w:start w:val="1"/>
      <w:numFmt w:val="decimal"/>
      <w:pStyle w:val="94"/>
      <w:suff w:val="nothing"/>
      <w:lvlText w:val="%1%2.%3.%4.%5　"/>
      <w:lvlJc w:val="left"/>
      <w:pPr>
        <w:ind w:left="71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3000776"/>
    <w:multiLevelType w:val="multilevel"/>
    <w:tmpl w:val="73000776"/>
    <w:lvl w:ilvl="0" w:tentative="0">
      <w:start w:val="20"/>
      <w:numFmt w:val="decimal"/>
      <w:lvlText w:val="%1"/>
      <w:lvlJc w:val="left"/>
      <w:pPr>
        <w:ind w:left="630" w:hanging="630"/>
      </w:pPr>
      <w:rPr>
        <w:rFonts w:hint="default"/>
      </w:rPr>
    </w:lvl>
    <w:lvl w:ilvl="1" w:tentative="0">
      <w:start w:val="2"/>
      <w:numFmt w:val="decimal"/>
      <w:lvlText w:val="%1.%2"/>
      <w:lvlJc w:val="left"/>
      <w:pPr>
        <w:ind w:left="630" w:hanging="630"/>
      </w:pPr>
      <w:rPr>
        <w:rFonts w:hint="default"/>
      </w:rPr>
    </w:lvl>
    <w:lvl w:ilvl="2" w:tentative="0">
      <w:start w:val="4"/>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2"/>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FhMDMyNjJiMWQ0YTZlOTlkYWJlZDNiMTA0NTA0MjcifQ=="/>
  </w:docVars>
  <w:rsids>
    <w:rsidRoot w:val="00BF39FB"/>
    <w:rsid w:val="0000040A"/>
    <w:rsid w:val="00000A94"/>
    <w:rsid w:val="00001972"/>
    <w:rsid w:val="00001D9A"/>
    <w:rsid w:val="0000392C"/>
    <w:rsid w:val="00007B3A"/>
    <w:rsid w:val="000107E0"/>
    <w:rsid w:val="00011FDE"/>
    <w:rsid w:val="00012FFD"/>
    <w:rsid w:val="00014162"/>
    <w:rsid w:val="00014340"/>
    <w:rsid w:val="00016A9C"/>
    <w:rsid w:val="00022184"/>
    <w:rsid w:val="00022762"/>
    <w:rsid w:val="000238E0"/>
    <w:rsid w:val="000249DB"/>
    <w:rsid w:val="0002595E"/>
    <w:rsid w:val="000303C3"/>
    <w:rsid w:val="000321B3"/>
    <w:rsid w:val="000331D3"/>
    <w:rsid w:val="000346A5"/>
    <w:rsid w:val="000359C3"/>
    <w:rsid w:val="00035A7D"/>
    <w:rsid w:val="000365ED"/>
    <w:rsid w:val="0004249A"/>
    <w:rsid w:val="00043282"/>
    <w:rsid w:val="00044286"/>
    <w:rsid w:val="000464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14"/>
    <w:rsid w:val="00067F1E"/>
    <w:rsid w:val="00071CC0"/>
    <w:rsid w:val="00073C8C"/>
    <w:rsid w:val="00077B64"/>
    <w:rsid w:val="00080A1C"/>
    <w:rsid w:val="00081A02"/>
    <w:rsid w:val="00082317"/>
    <w:rsid w:val="00083D2C"/>
    <w:rsid w:val="00086AA1"/>
    <w:rsid w:val="0008781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DCD"/>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8A"/>
    <w:rsid w:val="001852C9"/>
    <w:rsid w:val="00190087"/>
    <w:rsid w:val="001913C4"/>
    <w:rsid w:val="0019348F"/>
    <w:rsid w:val="00193A07"/>
    <w:rsid w:val="00194C95"/>
    <w:rsid w:val="00195C34"/>
    <w:rsid w:val="00196EF5"/>
    <w:rsid w:val="001971A2"/>
    <w:rsid w:val="001A1A53"/>
    <w:rsid w:val="001A234A"/>
    <w:rsid w:val="001A4CF3"/>
    <w:rsid w:val="001B06E8"/>
    <w:rsid w:val="001B0E4C"/>
    <w:rsid w:val="001B197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585"/>
    <w:rsid w:val="001F1605"/>
    <w:rsid w:val="001F2508"/>
    <w:rsid w:val="001F4816"/>
    <w:rsid w:val="001F69B4"/>
    <w:rsid w:val="001F77C7"/>
    <w:rsid w:val="00200183"/>
    <w:rsid w:val="00200333"/>
    <w:rsid w:val="0020107D"/>
    <w:rsid w:val="00202AA4"/>
    <w:rsid w:val="002031F7"/>
    <w:rsid w:val="002040E6"/>
    <w:rsid w:val="0020527B"/>
    <w:rsid w:val="00205F2C"/>
    <w:rsid w:val="00206FF1"/>
    <w:rsid w:val="00210B15"/>
    <w:rsid w:val="002142EA"/>
    <w:rsid w:val="00215469"/>
    <w:rsid w:val="00216218"/>
    <w:rsid w:val="002204BB"/>
    <w:rsid w:val="00221B79"/>
    <w:rsid w:val="00221C6B"/>
    <w:rsid w:val="002253A1"/>
    <w:rsid w:val="00225CF8"/>
    <w:rsid w:val="0022794E"/>
    <w:rsid w:val="00233B33"/>
    <w:rsid w:val="00233D64"/>
    <w:rsid w:val="0023482A"/>
    <w:rsid w:val="002359CB"/>
    <w:rsid w:val="00243540"/>
    <w:rsid w:val="0024497B"/>
    <w:rsid w:val="0024515B"/>
    <w:rsid w:val="00246021"/>
    <w:rsid w:val="0024666E"/>
    <w:rsid w:val="00247F52"/>
    <w:rsid w:val="00250B25"/>
    <w:rsid w:val="00250BBE"/>
    <w:rsid w:val="002515C2"/>
    <w:rsid w:val="0025194F"/>
    <w:rsid w:val="0026086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C3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1"/>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DA2"/>
    <w:rsid w:val="00324D13"/>
    <w:rsid w:val="00324EDD"/>
    <w:rsid w:val="003331E4"/>
    <w:rsid w:val="00336C64"/>
    <w:rsid w:val="00337162"/>
    <w:rsid w:val="0034194F"/>
    <w:rsid w:val="0034366C"/>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21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469"/>
    <w:rsid w:val="003A1582"/>
    <w:rsid w:val="003A2290"/>
    <w:rsid w:val="003A4077"/>
    <w:rsid w:val="003B09AD"/>
    <w:rsid w:val="003B1F18"/>
    <w:rsid w:val="003B5BF0"/>
    <w:rsid w:val="003B60BF"/>
    <w:rsid w:val="003B6BE3"/>
    <w:rsid w:val="003C010C"/>
    <w:rsid w:val="003C0A6C"/>
    <w:rsid w:val="003C14F8"/>
    <w:rsid w:val="003C55E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71D"/>
    <w:rsid w:val="00405884"/>
    <w:rsid w:val="00407D39"/>
    <w:rsid w:val="0041477A"/>
    <w:rsid w:val="004167A3"/>
    <w:rsid w:val="00417EF4"/>
    <w:rsid w:val="00432DAA"/>
    <w:rsid w:val="00434305"/>
    <w:rsid w:val="00435DF7"/>
    <w:rsid w:val="004400CD"/>
    <w:rsid w:val="0044083F"/>
    <w:rsid w:val="00441AE7"/>
    <w:rsid w:val="00445574"/>
    <w:rsid w:val="004467FB"/>
    <w:rsid w:val="00447D2F"/>
    <w:rsid w:val="00452D6B"/>
    <w:rsid w:val="00454484"/>
    <w:rsid w:val="0045517B"/>
    <w:rsid w:val="00463B77"/>
    <w:rsid w:val="00463C7B"/>
    <w:rsid w:val="004644A6"/>
    <w:rsid w:val="004659BD"/>
    <w:rsid w:val="00470775"/>
    <w:rsid w:val="004746B1"/>
    <w:rsid w:val="0047583F"/>
    <w:rsid w:val="00475DE8"/>
    <w:rsid w:val="00481C44"/>
    <w:rsid w:val="00481D5E"/>
    <w:rsid w:val="00484936"/>
    <w:rsid w:val="00485C89"/>
    <w:rsid w:val="00486BE3"/>
    <w:rsid w:val="004905E4"/>
    <w:rsid w:val="00490A89"/>
    <w:rsid w:val="00490AB4"/>
    <w:rsid w:val="00492F02"/>
    <w:rsid w:val="004939AE"/>
    <w:rsid w:val="004A12DF"/>
    <w:rsid w:val="004A186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EA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6C7"/>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7F2"/>
    <w:rsid w:val="00596160"/>
    <w:rsid w:val="005966E2"/>
    <w:rsid w:val="00596AC5"/>
    <w:rsid w:val="00597007"/>
    <w:rsid w:val="005A0966"/>
    <w:rsid w:val="005A11B7"/>
    <w:rsid w:val="005A260B"/>
    <w:rsid w:val="005A3DCF"/>
    <w:rsid w:val="005A4A1B"/>
    <w:rsid w:val="005A7830"/>
    <w:rsid w:val="005A7FCE"/>
    <w:rsid w:val="005B0F3F"/>
    <w:rsid w:val="005B4903"/>
    <w:rsid w:val="005B51CE"/>
    <w:rsid w:val="005B5885"/>
    <w:rsid w:val="005B5CD7"/>
    <w:rsid w:val="005B6CF6"/>
    <w:rsid w:val="005B7422"/>
    <w:rsid w:val="005C29B8"/>
    <w:rsid w:val="005C5F21"/>
    <w:rsid w:val="005C7156"/>
    <w:rsid w:val="005C782E"/>
    <w:rsid w:val="005D0C75"/>
    <w:rsid w:val="005D1F94"/>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47F9"/>
    <w:rsid w:val="00606419"/>
    <w:rsid w:val="00607D29"/>
    <w:rsid w:val="00612952"/>
    <w:rsid w:val="00614CC1"/>
    <w:rsid w:val="00615A9D"/>
    <w:rsid w:val="00617387"/>
    <w:rsid w:val="006205D6"/>
    <w:rsid w:val="006252D8"/>
    <w:rsid w:val="006259BC"/>
    <w:rsid w:val="0062636B"/>
    <w:rsid w:val="00632182"/>
    <w:rsid w:val="00632AE0"/>
    <w:rsid w:val="00633C17"/>
    <w:rsid w:val="006340AD"/>
    <w:rsid w:val="00634D9E"/>
    <w:rsid w:val="00635B23"/>
    <w:rsid w:val="00636E3E"/>
    <w:rsid w:val="006379F7"/>
    <w:rsid w:val="00637E4D"/>
    <w:rsid w:val="00640620"/>
    <w:rsid w:val="00641A1F"/>
    <w:rsid w:val="00643364"/>
    <w:rsid w:val="00645904"/>
    <w:rsid w:val="00651ACB"/>
    <w:rsid w:val="00651C47"/>
    <w:rsid w:val="00652AB2"/>
    <w:rsid w:val="00653516"/>
    <w:rsid w:val="00653FED"/>
    <w:rsid w:val="00654EC0"/>
    <w:rsid w:val="0065525B"/>
    <w:rsid w:val="00655C55"/>
    <w:rsid w:val="00655D4F"/>
    <w:rsid w:val="00656D29"/>
    <w:rsid w:val="006640E5"/>
    <w:rsid w:val="006646F1"/>
    <w:rsid w:val="00664929"/>
    <w:rsid w:val="00664F62"/>
    <w:rsid w:val="006655E1"/>
    <w:rsid w:val="006676E9"/>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579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047"/>
    <w:rsid w:val="007002C5"/>
    <w:rsid w:val="00704387"/>
    <w:rsid w:val="00707669"/>
    <w:rsid w:val="00711CBA"/>
    <w:rsid w:val="00711FB5"/>
    <w:rsid w:val="00712A01"/>
    <w:rsid w:val="00714F58"/>
    <w:rsid w:val="0072107D"/>
    <w:rsid w:val="00722FBF"/>
    <w:rsid w:val="00722FC2"/>
    <w:rsid w:val="00724B7F"/>
    <w:rsid w:val="00724E1B"/>
    <w:rsid w:val="00725949"/>
    <w:rsid w:val="00727FA2"/>
    <w:rsid w:val="007322D9"/>
    <w:rsid w:val="00732BC0"/>
    <w:rsid w:val="0073720F"/>
    <w:rsid w:val="00737796"/>
    <w:rsid w:val="0074018C"/>
    <w:rsid w:val="0074165C"/>
    <w:rsid w:val="00742C35"/>
    <w:rsid w:val="007432CA"/>
    <w:rsid w:val="007439EB"/>
    <w:rsid w:val="00743CB4"/>
    <w:rsid w:val="00743F0A"/>
    <w:rsid w:val="007444E8"/>
    <w:rsid w:val="0074548E"/>
    <w:rsid w:val="00745773"/>
    <w:rsid w:val="00746800"/>
    <w:rsid w:val="007501A8"/>
    <w:rsid w:val="00750D61"/>
    <w:rsid w:val="00750EE1"/>
    <w:rsid w:val="00751B3B"/>
    <w:rsid w:val="00752B4D"/>
    <w:rsid w:val="00755402"/>
    <w:rsid w:val="007565BE"/>
    <w:rsid w:val="00756B26"/>
    <w:rsid w:val="00756EDF"/>
    <w:rsid w:val="007600E3"/>
    <w:rsid w:val="00765C43"/>
    <w:rsid w:val="00765EFB"/>
    <w:rsid w:val="007671CA"/>
    <w:rsid w:val="00767C61"/>
    <w:rsid w:val="0077008A"/>
    <w:rsid w:val="00773C1F"/>
    <w:rsid w:val="00774DA4"/>
    <w:rsid w:val="0077568E"/>
    <w:rsid w:val="00776599"/>
    <w:rsid w:val="0078114B"/>
    <w:rsid w:val="00781DD2"/>
    <w:rsid w:val="00783ECF"/>
    <w:rsid w:val="0078413A"/>
    <w:rsid w:val="007931B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001"/>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21BB"/>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8FC"/>
    <w:rsid w:val="008A57E6"/>
    <w:rsid w:val="008A6F81"/>
    <w:rsid w:val="008A7142"/>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F2"/>
    <w:rsid w:val="008F4C29"/>
    <w:rsid w:val="008F70BD"/>
    <w:rsid w:val="008F788F"/>
    <w:rsid w:val="008F7EA2"/>
    <w:rsid w:val="00902722"/>
    <w:rsid w:val="009027BC"/>
    <w:rsid w:val="00903F34"/>
    <w:rsid w:val="009062E6"/>
    <w:rsid w:val="0091148A"/>
    <w:rsid w:val="009118CD"/>
    <w:rsid w:val="00911BE5"/>
    <w:rsid w:val="00913CA9"/>
    <w:rsid w:val="009145AE"/>
    <w:rsid w:val="009146CE"/>
    <w:rsid w:val="00914CA7"/>
    <w:rsid w:val="00915C3E"/>
    <w:rsid w:val="009161A8"/>
    <w:rsid w:val="009245F5"/>
    <w:rsid w:val="009249EC"/>
    <w:rsid w:val="009273B3"/>
    <w:rsid w:val="009305B5"/>
    <w:rsid w:val="009344A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29A"/>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98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588"/>
    <w:rsid w:val="00A41C79"/>
    <w:rsid w:val="00A41CB5"/>
    <w:rsid w:val="00A42CDF"/>
    <w:rsid w:val="00A4452E"/>
    <w:rsid w:val="00A4472C"/>
    <w:rsid w:val="00A44E69"/>
    <w:rsid w:val="00A4661E"/>
    <w:rsid w:val="00A47CD9"/>
    <w:rsid w:val="00A55BD6"/>
    <w:rsid w:val="00A55D50"/>
    <w:rsid w:val="00A57142"/>
    <w:rsid w:val="00A60E4B"/>
    <w:rsid w:val="00A648CD"/>
    <w:rsid w:val="00A6537A"/>
    <w:rsid w:val="00A67866"/>
    <w:rsid w:val="00A70B07"/>
    <w:rsid w:val="00A723F8"/>
    <w:rsid w:val="00A77CCB"/>
    <w:rsid w:val="00A83D8D"/>
    <w:rsid w:val="00A8446B"/>
    <w:rsid w:val="00A8468D"/>
    <w:rsid w:val="00A8473F"/>
    <w:rsid w:val="00A862D6"/>
    <w:rsid w:val="00A8715E"/>
    <w:rsid w:val="00A9295B"/>
    <w:rsid w:val="00A93B09"/>
    <w:rsid w:val="00A952D7"/>
    <w:rsid w:val="00A963F7"/>
    <w:rsid w:val="00A96AC1"/>
    <w:rsid w:val="00A96AD8"/>
    <w:rsid w:val="00AA052C"/>
    <w:rsid w:val="00AA1E45"/>
    <w:rsid w:val="00AA4286"/>
    <w:rsid w:val="00AA456B"/>
    <w:rsid w:val="00AA4F2A"/>
    <w:rsid w:val="00AA57F5"/>
    <w:rsid w:val="00AA672E"/>
    <w:rsid w:val="00AA6EC9"/>
    <w:rsid w:val="00AB6309"/>
    <w:rsid w:val="00AB6C5F"/>
    <w:rsid w:val="00AB7129"/>
    <w:rsid w:val="00AB773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B4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613"/>
    <w:rsid w:val="00B758BF"/>
    <w:rsid w:val="00B77EC8"/>
    <w:rsid w:val="00B827A6"/>
    <w:rsid w:val="00B831CE"/>
    <w:rsid w:val="00B86677"/>
    <w:rsid w:val="00B87131"/>
    <w:rsid w:val="00B939B1"/>
    <w:rsid w:val="00B96D40"/>
    <w:rsid w:val="00B97386"/>
    <w:rsid w:val="00B97F00"/>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06D"/>
    <w:rsid w:val="00BE5B52"/>
    <w:rsid w:val="00BE7B8D"/>
    <w:rsid w:val="00BF0993"/>
    <w:rsid w:val="00BF10A9"/>
    <w:rsid w:val="00BF1703"/>
    <w:rsid w:val="00BF231C"/>
    <w:rsid w:val="00BF39FB"/>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381"/>
    <w:rsid w:val="00C44BF5"/>
    <w:rsid w:val="00C464B4"/>
    <w:rsid w:val="00C521D6"/>
    <w:rsid w:val="00C55232"/>
    <w:rsid w:val="00C553A4"/>
    <w:rsid w:val="00C55A06"/>
    <w:rsid w:val="00C55D03"/>
    <w:rsid w:val="00C601BC"/>
    <w:rsid w:val="00C6329F"/>
    <w:rsid w:val="00C63340"/>
    <w:rsid w:val="00C643F9"/>
    <w:rsid w:val="00C64E95"/>
    <w:rsid w:val="00C65D8B"/>
    <w:rsid w:val="00C67330"/>
    <w:rsid w:val="00C71372"/>
    <w:rsid w:val="00C72410"/>
    <w:rsid w:val="00C7287F"/>
    <w:rsid w:val="00C80CB8"/>
    <w:rsid w:val="00C819F8"/>
    <w:rsid w:val="00C8248C"/>
    <w:rsid w:val="00C84E33"/>
    <w:rsid w:val="00C85A7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C7F"/>
    <w:rsid w:val="00D06AB1"/>
    <w:rsid w:val="00D072ED"/>
    <w:rsid w:val="00D074FC"/>
    <w:rsid w:val="00D07A16"/>
    <w:rsid w:val="00D1067E"/>
    <w:rsid w:val="00D10F50"/>
    <w:rsid w:val="00D11272"/>
    <w:rsid w:val="00D126F5"/>
    <w:rsid w:val="00D1489E"/>
    <w:rsid w:val="00D20737"/>
    <w:rsid w:val="00D21E81"/>
    <w:rsid w:val="00D223DE"/>
    <w:rsid w:val="00D25E37"/>
    <w:rsid w:val="00D2661A"/>
    <w:rsid w:val="00D27582"/>
    <w:rsid w:val="00D27EC4"/>
    <w:rsid w:val="00D303F7"/>
    <w:rsid w:val="00D32719"/>
    <w:rsid w:val="00D33333"/>
    <w:rsid w:val="00D352A2"/>
    <w:rsid w:val="00D4162B"/>
    <w:rsid w:val="00D4514F"/>
    <w:rsid w:val="00D451E2"/>
    <w:rsid w:val="00D45E89"/>
    <w:rsid w:val="00D45E8D"/>
    <w:rsid w:val="00D466AE"/>
    <w:rsid w:val="00D4734F"/>
    <w:rsid w:val="00D51BF3"/>
    <w:rsid w:val="00D66846"/>
    <w:rsid w:val="00D675FB"/>
    <w:rsid w:val="00D70D0C"/>
    <w:rsid w:val="00D71F25"/>
    <w:rsid w:val="00D72A9C"/>
    <w:rsid w:val="00D75097"/>
    <w:rsid w:val="00D77031"/>
    <w:rsid w:val="00D82574"/>
    <w:rsid w:val="00D84941"/>
    <w:rsid w:val="00D84FA1"/>
    <w:rsid w:val="00D851F0"/>
    <w:rsid w:val="00D86DB7"/>
    <w:rsid w:val="00D8728F"/>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591"/>
    <w:rsid w:val="00DC5B90"/>
    <w:rsid w:val="00DD00FF"/>
    <w:rsid w:val="00DD0619"/>
    <w:rsid w:val="00DD07FB"/>
    <w:rsid w:val="00DD1BD3"/>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79"/>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CCF"/>
    <w:rsid w:val="00E52EFD"/>
    <w:rsid w:val="00E5408A"/>
    <w:rsid w:val="00E554E2"/>
    <w:rsid w:val="00E56800"/>
    <w:rsid w:val="00E60C63"/>
    <w:rsid w:val="00E62FF9"/>
    <w:rsid w:val="00E635D6"/>
    <w:rsid w:val="00E639BC"/>
    <w:rsid w:val="00E654C9"/>
    <w:rsid w:val="00E664CC"/>
    <w:rsid w:val="00E70388"/>
    <w:rsid w:val="00E70F92"/>
    <w:rsid w:val="00E74097"/>
    <w:rsid w:val="00E74C54"/>
    <w:rsid w:val="00E7774E"/>
    <w:rsid w:val="00E77A03"/>
    <w:rsid w:val="00E822E8"/>
    <w:rsid w:val="00E82554"/>
    <w:rsid w:val="00E82606"/>
    <w:rsid w:val="00E846C8"/>
    <w:rsid w:val="00E84957"/>
    <w:rsid w:val="00E84A55"/>
    <w:rsid w:val="00E85BFF"/>
    <w:rsid w:val="00E87A1A"/>
    <w:rsid w:val="00E90391"/>
    <w:rsid w:val="00E906C2"/>
    <w:rsid w:val="00E9311F"/>
    <w:rsid w:val="00E934D1"/>
    <w:rsid w:val="00E94AF0"/>
    <w:rsid w:val="00E95D13"/>
    <w:rsid w:val="00E95DD3"/>
    <w:rsid w:val="00E969D5"/>
    <w:rsid w:val="00EA233A"/>
    <w:rsid w:val="00EA58D1"/>
    <w:rsid w:val="00EA61BC"/>
    <w:rsid w:val="00EA681A"/>
    <w:rsid w:val="00EA735B"/>
    <w:rsid w:val="00EB1E69"/>
    <w:rsid w:val="00EB2086"/>
    <w:rsid w:val="00EB5EDF"/>
    <w:rsid w:val="00EB60FE"/>
    <w:rsid w:val="00EB74DB"/>
    <w:rsid w:val="00EC5359"/>
    <w:rsid w:val="00EC562A"/>
    <w:rsid w:val="00ED067A"/>
    <w:rsid w:val="00ED29D5"/>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4167"/>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37F"/>
    <w:rsid w:val="00F81FC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ACE"/>
    <w:rsid w:val="00FE7E79"/>
    <w:rsid w:val="00FF3E7D"/>
    <w:rsid w:val="00FF5B99"/>
    <w:rsid w:val="00FF730C"/>
    <w:rsid w:val="00FF73F4"/>
    <w:rsid w:val="00FF7CE4"/>
    <w:rsid w:val="00FF7E39"/>
    <w:rsid w:val="01161381"/>
    <w:rsid w:val="014F3EE5"/>
    <w:rsid w:val="01D46B46"/>
    <w:rsid w:val="0215553E"/>
    <w:rsid w:val="02BA6745"/>
    <w:rsid w:val="0461566D"/>
    <w:rsid w:val="048221D3"/>
    <w:rsid w:val="051E0804"/>
    <w:rsid w:val="05A451BC"/>
    <w:rsid w:val="05FE4192"/>
    <w:rsid w:val="06224324"/>
    <w:rsid w:val="06733871"/>
    <w:rsid w:val="06964C86"/>
    <w:rsid w:val="06E520C9"/>
    <w:rsid w:val="076B1CFB"/>
    <w:rsid w:val="07DE24CD"/>
    <w:rsid w:val="08151D38"/>
    <w:rsid w:val="087D61BE"/>
    <w:rsid w:val="092D5890"/>
    <w:rsid w:val="095E38C5"/>
    <w:rsid w:val="09AD65FB"/>
    <w:rsid w:val="0A0A75A9"/>
    <w:rsid w:val="0A0D3B9D"/>
    <w:rsid w:val="0AB05605"/>
    <w:rsid w:val="0B117723"/>
    <w:rsid w:val="0C5D3248"/>
    <w:rsid w:val="0CCC51F6"/>
    <w:rsid w:val="0D266260"/>
    <w:rsid w:val="0D653929"/>
    <w:rsid w:val="0D9F5085"/>
    <w:rsid w:val="0DC83A03"/>
    <w:rsid w:val="0E6574A4"/>
    <w:rsid w:val="103F3D25"/>
    <w:rsid w:val="104135F9"/>
    <w:rsid w:val="10B97633"/>
    <w:rsid w:val="10FE0FAC"/>
    <w:rsid w:val="11641C95"/>
    <w:rsid w:val="12061235"/>
    <w:rsid w:val="123F59E2"/>
    <w:rsid w:val="12A9319D"/>
    <w:rsid w:val="12C66037"/>
    <w:rsid w:val="12F815C1"/>
    <w:rsid w:val="131B695B"/>
    <w:rsid w:val="134E1CE9"/>
    <w:rsid w:val="13BB1914"/>
    <w:rsid w:val="13FA0AFC"/>
    <w:rsid w:val="14110BE4"/>
    <w:rsid w:val="14344857"/>
    <w:rsid w:val="144162BD"/>
    <w:rsid w:val="145A112D"/>
    <w:rsid w:val="158A3CEC"/>
    <w:rsid w:val="15D65934"/>
    <w:rsid w:val="16020017"/>
    <w:rsid w:val="16DE7DF3"/>
    <w:rsid w:val="172B1350"/>
    <w:rsid w:val="175E104C"/>
    <w:rsid w:val="184130BA"/>
    <w:rsid w:val="186856E8"/>
    <w:rsid w:val="19263CD4"/>
    <w:rsid w:val="196B5A91"/>
    <w:rsid w:val="19766A09"/>
    <w:rsid w:val="1A78055F"/>
    <w:rsid w:val="1ABA46D4"/>
    <w:rsid w:val="1B562590"/>
    <w:rsid w:val="1BF260EF"/>
    <w:rsid w:val="1C3D380E"/>
    <w:rsid w:val="1C4E1577"/>
    <w:rsid w:val="1C760ACE"/>
    <w:rsid w:val="1D222AA8"/>
    <w:rsid w:val="1D5C1A72"/>
    <w:rsid w:val="1D60136F"/>
    <w:rsid w:val="1DC60BA9"/>
    <w:rsid w:val="1E37603B"/>
    <w:rsid w:val="1E6C7CDF"/>
    <w:rsid w:val="1F372797"/>
    <w:rsid w:val="1F3C3740"/>
    <w:rsid w:val="1F433DD7"/>
    <w:rsid w:val="1F9522B8"/>
    <w:rsid w:val="200C01F2"/>
    <w:rsid w:val="20C50021"/>
    <w:rsid w:val="22FE5379"/>
    <w:rsid w:val="239418A4"/>
    <w:rsid w:val="243527F7"/>
    <w:rsid w:val="24577437"/>
    <w:rsid w:val="24F44C86"/>
    <w:rsid w:val="258234CB"/>
    <w:rsid w:val="25C40AFC"/>
    <w:rsid w:val="26046966"/>
    <w:rsid w:val="26084E8D"/>
    <w:rsid w:val="2767173F"/>
    <w:rsid w:val="27AD32DF"/>
    <w:rsid w:val="28A03797"/>
    <w:rsid w:val="294A4E31"/>
    <w:rsid w:val="29513542"/>
    <w:rsid w:val="297665B1"/>
    <w:rsid w:val="29883BEF"/>
    <w:rsid w:val="2ACE1AD5"/>
    <w:rsid w:val="2B1E6BBA"/>
    <w:rsid w:val="2B517862"/>
    <w:rsid w:val="2B863EAA"/>
    <w:rsid w:val="2BC000DB"/>
    <w:rsid w:val="2C9108C8"/>
    <w:rsid w:val="2D9439C4"/>
    <w:rsid w:val="2E840E29"/>
    <w:rsid w:val="2ECE1DDB"/>
    <w:rsid w:val="2F0D7070"/>
    <w:rsid w:val="2F875074"/>
    <w:rsid w:val="2F8A6913"/>
    <w:rsid w:val="306A4AD7"/>
    <w:rsid w:val="308415B4"/>
    <w:rsid w:val="30BF25EC"/>
    <w:rsid w:val="30E30912"/>
    <w:rsid w:val="31973569"/>
    <w:rsid w:val="31D40319"/>
    <w:rsid w:val="31DA13FA"/>
    <w:rsid w:val="32901C31"/>
    <w:rsid w:val="335607FA"/>
    <w:rsid w:val="337F7039"/>
    <w:rsid w:val="33AF6F27"/>
    <w:rsid w:val="33C5689E"/>
    <w:rsid w:val="34056568"/>
    <w:rsid w:val="342A2472"/>
    <w:rsid w:val="342D5900"/>
    <w:rsid w:val="34DD74E5"/>
    <w:rsid w:val="355F19D4"/>
    <w:rsid w:val="355F614C"/>
    <w:rsid w:val="356E45E1"/>
    <w:rsid w:val="35E222F5"/>
    <w:rsid w:val="36552BBE"/>
    <w:rsid w:val="368246D8"/>
    <w:rsid w:val="373553B6"/>
    <w:rsid w:val="385233AE"/>
    <w:rsid w:val="39EE297C"/>
    <w:rsid w:val="3A830B2E"/>
    <w:rsid w:val="3ABB2076"/>
    <w:rsid w:val="3AE47002"/>
    <w:rsid w:val="3C520B47"/>
    <w:rsid w:val="3C5669D1"/>
    <w:rsid w:val="3C814BF9"/>
    <w:rsid w:val="3DF354FF"/>
    <w:rsid w:val="3E180966"/>
    <w:rsid w:val="3E5836E4"/>
    <w:rsid w:val="3E8B054B"/>
    <w:rsid w:val="3EEA7329"/>
    <w:rsid w:val="3F421BFD"/>
    <w:rsid w:val="3F870374"/>
    <w:rsid w:val="3FB53538"/>
    <w:rsid w:val="40B76E3C"/>
    <w:rsid w:val="41272213"/>
    <w:rsid w:val="414508EB"/>
    <w:rsid w:val="414572C6"/>
    <w:rsid w:val="4202058A"/>
    <w:rsid w:val="422A09AE"/>
    <w:rsid w:val="424661AA"/>
    <w:rsid w:val="43007E40"/>
    <w:rsid w:val="431F7ADB"/>
    <w:rsid w:val="44315F91"/>
    <w:rsid w:val="44EF30CB"/>
    <w:rsid w:val="45B253DB"/>
    <w:rsid w:val="46783463"/>
    <w:rsid w:val="467B090B"/>
    <w:rsid w:val="47441F5C"/>
    <w:rsid w:val="47D267E3"/>
    <w:rsid w:val="481A5F1F"/>
    <w:rsid w:val="49617E81"/>
    <w:rsid w:val="49E60792"/>
    <w:rsid w:val="4A8F4985"/>
    <w:rsid w:val="4ABB0804"/>
    <w:rsid w:val="4AFA2747"/>
    <w:rsid w:val="4B124C8E"/>
    <w:rsid w:val="4B206C58"/>
    <w:rsid w:val="4B390D05"/>
    <w:rsid w:val="4B3D0935"/>
    <w:rsid w:val="4B4C2907"/>
    <w:rsid w:val="4B6E6C91"/>
    <w:rsid w:val="4BCE14DD"/>
    <w:rsid w:val="4BF076A6"/>
    <w:rsid w:val="4BF453E8"/>
    <w:rsid w:val="4C675BBA"/>
    <w:rsid w:val="4C78451C"/>
    <w:rsid w:val="4CD60F91"/>
    <w:rsid w:val="4CFB4554"/>
    <w:rsid w:val="4D5F23B7"/>
    <w:rsid w:val="4E2B665F"/>
    <w:rsid w:val="4E516060"/>
    <w:rsid w:val="4E610F96"/>
    <w:rsid w:val="4EB33338"/>
    <w:rsid w:val="4FBC446F"/>
    <w:rsid w:val="4FE03F65"/>
    <w:rsid w:val="500D27C2"/>
    <w:rsid w:val="50331C8F"/>
    <w:rsid w:val="50C811EA"/>
    <w:rsid w:val="50EB2B26"/>
    <w:rsid w:val="514E10F6"/>
    <w:rsid w:val="51A60F32"/>
    <w:rsid w:val="51B63B64"/>
    <w:rsid w:val="51E76068"/>
    <w:rsid w:val="52342D13"/>
    <w:rsid w:val="525C6372"/>
    <w:rsid w:val="536F35A6"/>
    <w:rsid w:val="53C5766A"/>
    <w:rsid w:val="53EA138C"/>
    <w:rsid w:val="54A10FD2"/>
    <w:rsid w:val="55331E7E"/>
    <w:rsid w:val="565F5B54"/>
    <w:rsid w:val="56674A08"/>
    <w:rsid w:val="569F23F4"/>
    <w:rsid w:val="5744502C"/>
    <w:rsid w:val="576E3461"/>
    <w:rsid w:val="587358E6"/>
    <w:rsid w:val="58E80837"/>
    <w:rsid w:val="59DB4E4A"/>
    <w:rsid w:val="5A9102A6"/>
    <w:rsid w:val="5B4873E3"/>
    <w:rsid w:val="5BDA5F42"/>
    <w:rsid w:val="5C0813D3"/>
    <w:rsid w:val="5C311110"/>
    <w:rsid w:val="5CBF396D"/>
    <w:rsid w:val="5CED3EB9"/>
    <w:rsid w:val="5D437F7D"/>
    <w:rsid w:val="5FAF36A8"/>
    <w:rsid w:val="60065292"/>
    <w:rsid w:val="605B3830"/>
    <w:rsid w:val="609F5C3B"/>
    <w:rsid w:val="60A72DA9"/>
    <w:rsid w:val="60C154CE"/>
    <w:rsid w:val="60E05AE3"/>
    <w:rsid w:val="61AB0DDF"/>
    <w:rsid w:val="61C24D65"/>
    <w:rsid w:val="62355D6F"/>
    <w:rsid w:val="62775FD3"/>
    <w:rsid w:val="62DE3340"/>
    <w:rsid w:val="630510AE"/>
    <w:rsid w:val="634C56B2"/>
    <w:rsid w:val="640F3A2E"/>
    <w:rsid w:val="64122457"/>
    <w:rsid w:val="64690D16"/>
    <w:rsid w:val="64D4770D"/>
    <w:rsid w:val="67024A05"/>
    <w:rsid w:val="675E7762"/>
    <w:rsid w:val="677C77DF"/>
    <w:rsid w:val="67D0783D"/>
    <w:rsid w:val="685A617B"/>
    <w:rsid w:val="689B6EBF"/>
    <w:rsid w:val="690A194F"/>
    <w:rsid w:val="69156A22"/>
    <w:rsid w:val="69ED7A4E"/>
    <w:rsid w:val="6A745C1A"/>
    <w:rsid w:val="6A802D7F"/>
    <w:rsid w:val="6AA638F9"/>
    <w:rsid w:val="6AE10DD5"/>
    <w:rsid w:val="6BC51FA8"/>
    <w:rsid w:val="6BED307E"/>
    <w:rsid w:val="6BEE7A07"/>
    <w:rsid w:val="6C195936"/>
    <w:rsid w:val="6C631022"/>
    <w:rsid w:val="6C6B1D2E"/>
    <w:rsid w:val="6C820453"/>
    <w:rsid w:val="6D0B213A"/>
    <w:rsid w:val="6D1F0A51"/>
    <w:rsid w:val="6D2D79C5"/>
    <w:rsid w:val="6D535D71"/>
    <w:rsid w:val="6DA04F3A"/>
    <w:rsid w:val="6EA91C0A"/>
    <w:rsid w:val="6F71097A"/>
    <w:rsid w:val="6FEF7AF1"/>
    <w:rsid w:val="700D3BE5"/>
    <w:rsid w:val="706A53C9"/>
    <w:rsid w:val="70B67E72"/>
    <w:rsid w:val="71614A1E"/>
    <w:rsid w:val="71AA1F21"/>
    <w:rsid w:val="71CD79BE"/>
    <w:rsid w:val="72D67739"/>
    <w:rsid w:val="74213802"/>
    <w:rsid w:val="74844CAB"/>
    <w:rsid w:val="74EC2ED5"/>
    <w:rsid w:val="75263FB5"/>
    <w:rsid w:val="757A7AA7"/>
    <w:rsid w:val="7625601A"/>
    <w:rsid w:val="7634625D"/>
    <w:rsid w:val="76C70E7F"/>
    <w:rsid w:val="77282E24"/>
    <w:rsid w:val="774249AA"/>
    <w:rsid w:val="774B7496"/>
    <w:rsid w:val="77E37AA1"/>
    <w:rsid w:val="77F4471F"/>
    <w:rsid w:val="78AB498F"/>
    <w:rsid w:val="78DA74D9"/>
    <w:rsid w:val="794669D3"/>
    <w:rsid w:val="79F521A7"/>
    <w:rsid w:val="7A4231ED"/>
    <w:rsid w:val="7A7A7E04"/>
    <w:rsid w:val="7A7E03EF"/>
    <w:rsid w:val="7BAE260E"/>
    <w:rsid w:val="7BAE6AB2"/>
    <w:rsid w:val="7BC77C52"/>
    <w:rsid w:val="7CF4266C"/>
    <w:rsid w:val="7CFB7AD5"/>
    <w:rsid w:val="7DA0242A"/>
    <w:rsid w:val="7DB36E05"/>
    <w:rsid w:val="7DDB2289"/>
    <w:rsid w:val="7E1640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link w:val="248"/>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1276"/>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link w:val="247"/>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ind w:left="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段 Char"/>
    <w:link w:val="231"/>
    <w:qFormat/>
    <w:uiPriority w:val="0"/>
    <w:rPr>
      <w:rFonts w:ascii="宋体"/>
      <w:sz w:val="21"/>
    </w:rPr>
  </w:style>
  <w:style w:type="paragraph" w:customStyle="1" w:styleId="231">
    <w:name w:val="段"/>
    <w:link w:val="230"/>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2">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233">
    <w:name w:val="附录标识"/>
    <w:basedOn w:val="1"/>
    <w:next w:val="231"/>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34">
    <w:name w:val="附录章标题"/>
    <w:next w:val="231"/>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5">
    <w:name w:val="附录表标号"/>
    <w:basedOn w:val="1"/>
    <w:next w:val="231"/>
    <w:qFormat/>
    <w:uiPriority w:val="0"/>
    <w:pPr>
      <w:tabs>
        <w:tab w:val="left" w:pos="1646"/>
      </w:tabs>
      <w:adjustRightInd/>
      <w:spacing w:line="14" w:lineRule="exact"/>
      <w:ind w:left="811" w:hanging="448"/>
      <w:jc w:val="center"/>
      <w:outlineLvl w:val="0"/>
    </w:pPr>
    <w:rPr>
      <w:rFonts w:ascii="Times New Roman" w:hAnsi="Times New Roman"/>
      <w:color w:val="FFFFFF"/>
      <w:szCs w:val="24"/>
    </w:rPr>
  </w:style>
  <w:style w:type="paragraph" w:customStyle="1" w:styleId="236">
    <w:name w:val="附录一级无"/>
    <w:basedOn w:val="1"/>
    <w:qFormat/>
    <w:uiPriority w:val="0"/>
    <w:pPr>
      <w:widowControl/>
      <w:wordWrap w:val="0"/>
      <w:overflowPunct w:val="0"/>
      <w:autoSpaceDE w:val="0"/>
      <w:autoSpaceDN w:val="0"/>
      <w:adjustRightInd/>
      <w:spacing w:line="240" w:lineRule="auto"/>
      <w:textAlignment w:val="baseline"/>
      <w:outlineLvl w:val="2"/>
    </w:pPr>
    <w:rPr>
      <w:rFonts w:ascii="宋体" w:hAnsi="Times New Roman"/>
      <w:kern w:val="21"/>
    </w:rPr>
  </w:style>
  <w:style w:type="paragraph" w:customStyle="1" w:styleId="237">
    <w:name w:val="三级条标题"/>
    <w:basedOn w:val="238"/>
    <w:next w:val="231"/>
    <w:qFormat/>
    <w:uiPriority w:val="0"/>
    <w:pPr>
      <w:numPr>
        <w:ilvl w:val="3"/>
      </w:numPr>
      <w:tabs>
        <w:tab w:val="left" w:pos="840"/>
      </w:tabs>
      <w:outlineLvl w:val="4"/>
    </w:pPr>
  </w:style>
  <w:style w:type="paragraph" w:customStyle="1" w:styleId="238">
    <w:name w:val="二级条标题"/>
    <w:basedOn w:val="239"/>
    <w:next w:val="231"/>
    <w:qFormat/>
    <w:uiPriority w:val="0"/>
    <w:pPr>
      <w:numPr>
        <w:ilvl w:val="2"/>
      </w:numPr>
      <w:tabs>
        <w:tab w:val="left" w:pos="840"/>
      </w:tabs>
      <w:spacing w:before="50" w:after="50"/>
      <w:outlineLvl w:val="3"/>
    </w:pPr>
  </w:style>
  <w:style w:type="paragraph" w:customStyle="1" w:styleId="239">
    <w:name w:val="一级条标题"/>
    <w:next w:val="231"/>
    <w:qFormat/>
    <w:uiPriority w:val="0"/>
    <w:pPr>
      <w:numPr>
        <w:ilvl w:val="1"/>
        <w:numId w:val="11"/>
      </w:numPr>
      <w:spacing w:beforeLines="50" w:afterLines="50"/>
      <w:outlineLvl w:val="2"/>
    </w:pPr>
    <w:rPr>
      <w:rFonts w:ascii="黑体" w:hAnsi="Times New Roman" w:eastAsia="黑体" w:cs="Times New Roman"/>
      <w:sz w:val="21"/>
      <w:szCs w:val="21"/>
      <w:lang w:val="en-US" w:eastAsia="zh-CN" w:bidi="ar-SA"/>
    </w:rPr>
  </w:style>
  <w:style w:type="paragraph" w:customStyle="1" w:styleId="240">
    <w:name w:val="字母编号列项（一级）"/>
    <w:qFormat/>
    <w:uiPriority w:val="0"/>
    <w:pPr>
      <w:tabs>
        <w:tab w:val="left" w:pos="839"/>
      </w:tabs>
      <w:ind w:left="851" w:hanging="426"/>
      <w:jc w:val="both"/>
    </w:pPr>
    <w:rPr>
      <w:rFonts w:ascii="宋体" w:hAnsi="Times New Roman" w:eastAsia="宋体" w:cs="Times New Roman"/>
      <w:sz w:val="21"/>
      <w:lang w:val="en-US" w:eastAsia="zh-CN" w:bidi="ar-SA"/>
    </w:rPr>
  </w:style>
  <w:style w:type="paragraph" w:customStyle="1" w:styleId="241">
    <w:name w:val="章标题"/>
    <w:next w:val="231"/>
    <w:qFormat/>
    <w:uiPriority w:val="0"/>
    <w:pPr>
      <w:tabs>
        <w:tab w:val="left" w:pos="823"/>
      </w:tabs>
      <w:spacing w:beforeLines="100" w:afterLines="100"/>
      <w:ind w:left="823" w:hanging="420"/>
      <w:jc w:val="both"/>
      <w:outlineLvl w:val="1"/>
    </w:pPr>
    <w:rPr>
      <w:rFonts w:ascii="黑体" w:hAnsi="Times New Roman" w:eastAsia="黑体" w:cs="Times New Roman"/>
      <w:sz w:val="21"/>
      <w:lang w:val="en-US" w:eastAsia="zh-CN" w:bidi="ar-SA"/>
    </w:rPr>
  </w:style>
  <w:style w:type="paragraph" w:customStyle="1" w:styleId="242">
    <w:name w:val="一级无"/>
    <w:basedOn w:val="239"/>
    <w:qFormat/>
    <w:uiPriority w:val="0"/>
    <w:pPr>
      <w:spacing w:beforeLines="0" w:afterLines="0"/>
    </w:pPr>
    <w:rPr>
      <w:rFonts w:ascii="宋体" w:eastAsia="宋体"/>
    </w:rPr>
  </w:style>
  <w:style w:type="paragraph" w:customStyle="1" w:styleId="243">
    <w:name w:val="目次、标准名称标题"/>
    <w:basedOn w:val="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44">
    <w:name w:val="前言、引言标题"/>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5">
    <w:name w:val="标准书眉_奇数页"/>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247">
    <w:name w:val="二级无标题条 Char"/>
    <w:link w:val="118"/>
    <w:qFormat/>
    <w:uiPriority w:val="0"/>
    <w:rPr>
      <w:rFonts w:ascii="宋体" w:hAnsi="宋体"/>
      <w:szCs w:val="24"/>
    </w:rPr>
  </w:style>
  <w:style w:type="character" w:customStyle="1" w:styleId="248">
    <w:name w:val="标准文件_标准正文 Char"/>
    <w:link w:val="55"/>
    <w:qFormat/>
    <w:uiPriority w:val="0"/>
    <w:rPr>
      <w:kern w:val="0"/>
    </w:rPr>
  </w:style>
  <w:style w:type="table" w:customStyle="1" w:styleId="249">
    <w:name w:val="网格型1"/>
    <w:basedOn w:val="26"/>
    <w:qFormat/>
    <w:uiPriority w:val="0"/>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glossaryDocument" Target="glossary/document.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jpeg"/><Relationship Id="rId28" Type="http://schemas.openxmlformats.org/officeDocument/2006/relationships/image" Target="media/image1.tiff"/><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c50efcc-57a4-475d-8dd8-bea9bd8abdb6}"/>
        <w:style w:val=""/>
        <w:category>
          <w:name w:val="常规"/>
          <w:gallery w:val="placeholder"/>
        </w:category>
        <w:types>
          <w:type w:val="bbPlcHdr"/>
        </w:types>
        <w:behaviors>
          <w:behavior w:val="content"/>
        </w:behaviors>
        <w:description w:val=""/>
        <w:guid w:val="{FC50EFCC-57A4-475D-8DD8-BEA9BD8ABDB6}"/>
      </w:docPartPr>
      <w:docPartBody>
        <w:p>
          <w:pPr>
            <w:pStyle w:val="8"/>
          </w:pPr>
          <w:r>
            <w:rPr>
              <w:rStyle w:val="5"/>
              <w:rFonts w:hint="eastAsia"/>
            </w:rPr>
            <w:t>单击或点击此处输入文字。</w:t>
          </w:r>
        </w:p>
      </w:docPartBody>
    </w:docPart>
    <w:docPart>
      <w:docPartPr>
        <w:name w:val="{1c443ff0-b8b8-4cec-af37-e559082987d0}"/>
        <w:style w:val=""/>
        <w:category>
          <w:name w:val="常规"/>
          <w:gallery w:val="placeholder"/>
        </w:category>
        <w:types>
          <w:type w:val="bbPlcHdr"/>
        </w:types>
        <w:behaviors>
          <w:behavior w:val="content"/>
        </w:behaviors>
        <w:description w:val=""/>
        <w:guid w:val="{1C443FF0-B8B8-4CEC-AF37-E559082987D0}"/>
      </w:docPartPr>
      <w:docPartBody>
        <w:p>
          <w:pPr>
            <w:pStyle w:val="19"/>
          </w:pPr>
          <w:r>
            <w:rPr>
              <w:rStyle w:val="5"/>
              <w:rFonts w:hint="eastAsia"/>
            </w:rPr>
            <w:t>选择一项。</w:t>
          </w:r>
        </w:p>
      </w:docPartBody>
    </w:docPart>
    <w:docPart>
      <w:docPartPr>
        <w:name w:val="{8ff1ad95-c9d4-485c-a06f-81309a6b1dcd}"/>
        <w:style w:val=""/>
        <w:category>
          <w:name w:val="常规"/>
          <w:gallery w:val="placeholder"/>
        </w:category>
        <w:types>
          <w:type w:val="bbPlcHdr"/>
        </w:types>
        <w:behaviors>
          <w:behavior w:val="content"/>
        </w:behaviors>
        <w:description w:val=""/>
        <w:guid w:val="{8FF1AD95-C9D4-485C-A06F-81309A6B1DCD}"/>
      </w:docPartPr>
      <w:docPartBody>
        <w:p>
          <w:pPr>
            <w:pStyle w:val="20"/>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0250B3"/>
    <w:rsid w:val="000250B3"/>
    <w:rsid w:val="006D5E12"/>
    <w:rsid w:val="00BB1D5C"/>
    <w:rsid w:val="00D309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152599BAA7EB46738D2F34CC4014C03F"/>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626A5FABEB3E45AFB682D2C29F3C95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9E7BC5791DD494FA3D51BF6BA0F80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8FC537AD20943D992D9F7E32AF039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E2D1D7C77DC439BBFFE0F628F9F04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4D46B067434C46DB8D35F1387EB9C5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E5F9D183077E4AB092066058C03B368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3AE9F883FBC04329AA6350BF682B5E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1A5F4642CB664B02ABF1FAD806EB10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F97CDB88D7AD43C895AF5715B092EC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7CE2C574A581456187EAEC25DE4F0F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3C660B8C78D243DBB6673B91D4D15C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7265DC5D462C4457A98A766540F2B9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B8E1BF5378594504AC2368D20AABAA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7435D6860BC84FC5867F50385878BA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41C8868B6C134DE6AD7760BF404A55A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F7ED8A-9414-4192-95D7-A86A615D9E0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933</Words>
  <Characters>5322</Characters>
  <Lines>44</Lines>
  <Paragraphs>12</Paragraphs>
  <TotalTime>75</TotalTime>
  <ScaleCrop>false</ScaleCrop>
  <LinksUpToDate>false</LinksUpToDate>
  <CharactersWithSpaces>6243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2021-01-11T09:10:00Z</dcterms:created>
  <dc:creator>微软用户</dc:creator>
  <dc:description>&lt;config cover="true" show_menu="true" version="1.0.0" doctype="SDKXY"&gt;_x000d_
&lt;/config&gt;</dc:description>
  <cp:lastModifiedBy>708-3</cp:lastModifiedBy>
  <cp:lastPrinted>2021-01-11T08:47:00Z</cp:lastPrinted>
  <dcterms:modified xsi:type="dcterms:W3CDTF">2023-12-15T06:24:04Z</dcterms:modified>
  <dc:title>地方标准</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2052-12.1.0.15990</vt:lpwstr>
  </property>
  <property fmtid="{D5CDD505-2E9C-101B-9397-08002B2CF9AE}" pid="15" name="ICV">
    <vt:lpwstr>495372962BA84E4081EFBDA52FA9E90C_13</vt:lpwstr>
  </property>
  <property fmtid="{D5CDD505-2E9C-101B-9397-08002B2CF9AE}" pid="16" name="DoublePage">
    <vt:lpwstr>true</vt:lpwstr>
  </property>
</Properties>
</file>