
<file path=[Content_Types].xml><?xml version="1.0" encoding="utf-8"?>
<Types xmlns="http://schemas.openxmlformats.org/package/2006/content-types">
  <Default Extension="xml" ContentType="application/xml"/>
  <Default Extension="bin" ContentType="application/vnd.openxmlformats-officedocument.oleObject"/>
  <Default Extension="tiff" ContentType="image/tiff"/>
  <Default Extension="wmf" ContentType="image/x-wmf"/>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4"/>
        <w:tblW w:w="935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09"/>
        <w:gridCol w:w="88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509" w:type="dxa"/>
          </w:tcPr>
          <w:p>
            <w:pPr>
              <w:pStyle w:val="19"/>
              <w:framePr w:wrap="notBeside" w:vAnchor="page" w:hAnchor="page" w:x="1372" w:y="568"/>
              <w:tabs>
                <w:tab w:val="clear" w:pos="4153"/>
                <w:tab w:val="clear" w:pos="8306"/>
              </w:tabs>
              <w:spacing w:before="20" w:line="240" w:lineRule="auto"/>
              <w:jc w:val="left"/>
              <w:rPr>
                <w:rFonts w:ascii="Times New Roman" w:hAnsi="Times New Roman" w:eastAsia="黑体"/>
                <w:sz w:val="21"/>
                <w:szCs w:val="21"/>
              </w:rPr>
            </w:pPr>
            <w:r>
              <w:rPr>
                <w:rFonts w:ascii="Times New Roman" w:hAnsi="Times New Roman" w:eastAsia="黑体"/>
                <w:sz w:val="21"/>
                <w:szCs w:val="21"/>
              </w:rPr>
              <w:t>ICS</w:t>
            </w:r>
          </w:p>
        </w:tc>
        <w:tc>
          <w:tcPr>
            <w:tcW w:w="8845" w:type="dxa"/>
          </w:tcPr>
          <w:p>
            <w:pPr>
              <w:pStyle w:val="19"/>
              <w:framePr w:wrap="notBeside" w:vAnchor="page" w:hAnchor="page" w:x="1372" w:y="568"/>
              <w:tabs>
                <w:tab w:val="clear" w:pos="4153"/>
                <w:tab w:val="clear" w:pos="8306"/>
              </w:tabs>
              <w:spacing w:line="240" w:lineRule="atLeast"/>
              <w:jc w:val="both"/>
              <w:rPr>
                <w:rFonts w:ascii="黑体" w:hAnsi="黑体" w:eastAsia="黑体"/>
                <w:sz w:val="21"/>
                <w:szCs w:val="21"/>
              </w:rPr>
            </w:pPr>
            <w:r>
              <w:rPr>
                <w:rFonts w:ascii="黑体" w:hAnsi="黑体" w:eastAsia="黑体"/>
                <w:sz w:val="21"/>
                <w:szCs w:val="21"/>
              </w:rPr>
              <w:t xml:space="preserve">13.020.10 </w:t>
            </w:r>
            <w:r>
              <w:rPr>
                <w:rFonts w:ascii="黑体" w:hAnsi="黑体" w:eastAsia="黑体"/>
                <w:sz w:val="21"/>
                <w:szCs w:val="21"/>
              </w:rPr>
              <w:fldChar w:fldCharType="begin">
                <w:ffData>
                  <w:name w:val="ICS"/>
                  <w:enabled/>
                  <w:calcOnExit w:val="0"/>
                  <w:textInput>
                    <w:default w:val="点击此处添加ICS号"/>
                  </w:textInput>
                </w:ffData>
              </w:fldChar>
            </w:r>
            <w:bookmarkStart w:id="0" w:name="ICS"/>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fldChar w:fldCharType="end"/>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509" w:type="dxa"/>
          </w:tcPr>
          <w:p>
            <w:pPr>
              <w:pStyle w:val="19"/>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Times New Roman" w:hAnsi="Times New Roman" w:eastAsia="黑体"/>
                <w:sz w:val="21"/>
                <w:szCs w:val="21"/>
              </w:rPr>
              <w:t>CCS</w:t>
            </w:r>
            <w:r>
              <w:rPr>
                <w:rFonts w:hint="eastAsia" w:ascii="Times New Roman" w:hAnsi="Times New Roman" w:eastAsia="黑体"/>
                <w:sz w:val="21"/>
                <w:szCs w:val="21"/>
              </w:rPr>
              <w:t xml:space="preserve">   </w:t>
            </w:r>
          </w:p>
        </w:tc>
        <w:tc>
          <w:tcPr>
            <w:tcW w:w="8845" w:type="dxa"/>
          </w:tcPr>
          <w:p>
            <w:pPr>
              <w:pStyle w:val="19"/>
              <w:framePr w:wrap="notBeside" w:vAnchor="page" w:hAnchor="page" w:x="1372" w:y="568"/>
              <w:tabs>
                <w:tab w:val="clear" w:pos="4153"/>
                <w:tab w:val="clear" w:pos="8306"/>
              </w:tabs>
              <w:spacing w:line="240" w:lineRule="auto"/>
              <w:jc w:val="left"/>
              <w:rPr>
                <w:rFonts w:ascii="黑体" w:hAnsi="黑体" w:eastAsia="黑体"/>
                <w:sz w:val="21"/>
                <w:szCs w:val="21"/>
              </w:rPr>
            </w:pPr>
            <w:r>
              <w:rPr>
                <w:rFonts w:ascii="黑体" w:hAnsi="黑体" w:eastAsia="黑体"/>
                <w:sz w:val="21"/>
                <w:szCs w:val="21"/>
              </w:rPr>
              <w:t>Z 04</w:t>
            </w:r>
          </w:p>
        </w:tc>
      </w:tr>
    </w:tbl>
    <w:tbl>
      <w:tblPr>
        <w:tblStyle w:val="34"/>
        <w:tblpPr w:leftFromText="180" w:rightFromText="180" w:vertAnchor="text" w:horzAnchor="margin" w:tblpX="2683" w:tblpY="578"/>
        <w:tblW w:w="6407" w:type="dxa"/>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fixed"/>
        <w:tblCellMar>
          <w:top w:w="0" w:type="dxa"/>
          <w:left w:w="108" w:type="dxa"/>
          <w:bottom w:w="0" w:type="dxa"/>
          <w:right w:w="221" w:type="dxa"/>
        </w:tblCellMar>
      </w:tblPr>
      <w:tblGrid>
        <w:gridCol w:w="6407"/>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fixed"/>
          <w:tblCellMar>
            <w:top w:w="0" w:type="dxa"/>
            <w:left w:w="108" w:type="dxa"/>
            <w:bottom w:w="0" w:type="dxa"/>
            <w:right w:w="221" w:type="dxa"/>
          </w:tblCellMar>
        </w:tblPrEx>
        <w:tc>
          <w:tcPr>
            <w:tcW w:w="6407" w:type="dxa"/>
          </w:tcPr>
          <w:p>
            <w:pPr>
              <w:pStyle w:val="50"/>
              <w:framePr w:w="0" w:hRule="auto" w:wrap="auto" w:vAnchor="margin" w:hAnchor="text" w:xAlign="left" w:yAlign="inline"/>
              <w:rPr>
                <w:rFonts w:ascii="宋体" w:hAnsi="宋体"/>
                <w:sz w:val="28"/>
                <w:szCs w:val="28"/>
              </w:rPr>
            </w:pPr>
            <w:bookmarkStart w:id="1" w:name="_Hlk26473981"/>
            <w:r>
              <w:drawing>
                <wp:inline distT="0" distB="0" distL="0" distR="0">
                  <wp:extent cx="796290" cy="397510"/>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813958" cy="406373"/>
                          </a:xfrm>
                          <a:prstGeom prst="rect">
                            <a:avLst/>
                          </a:prstGeom>
                        </pic:spPr>
                      </pic:pic>
                    </a:graphicData>
                  </a:graphic>
                </wp:inline>
              </w:drawing>
            </w:r>
            <w:r>
              <w:rPr>
                <w:rFonts w:hint="eastAsia"/>
              </w:rPr>
              <w:t>3702</w:t>
            </w:r>
          </w:p>
        </w:tc>
      </w:tr>
    </w:tbl>
    <w:p>
      <w:pPr>
        <w:pStyle w:val="51"/>
        <w:framePr w:w="9639" w:h="624" w:hRule="exact" w:hSpace="181" w:vSpace="181" w:hAnchor="page" w:x="1305" w:y="2269"/>
        <w:rPr>
          <w:rFonts w:ascii="黑体" w:hAnsi="黑体" w:eastAsia="黑体"/>
          <w:b w:val="0"/>
          <w:bCs w:val="0"/>
          <w:w w:val="100"/>
          <w:sz w:val="48"/>
          <w:szCs w:val="48"/>
        </w:rPr>
      </w:pPr>
      <w:r>
        <w:rPr>
          <w:rFonts w:hint="eastAsia" w:ascii="黑体" w:eastAsia="黑体"/>
          <w:b w:val="0"/>
          <w:w w:val="100"/>
          <w:sz w:val="48"/>
        </w:rPr>
        <w:t>青岛市</w:t>
      </w:r>
      <w:r>
        <w:rPr>
          <w:rFonts w:hint="eastAsia" w:ascii="黑体" w:hAnsi="黑体" w:eastAsia="黑体"/>
          <w:b w:val="0"/>
          <w:bCs w:val="0"/>
          <w:w w:val="100"/>
          <w:sz w:val="48"/>
          <w:szCs w:val="48"/>
        </w:rPr>
        <w:t>地方标准</w:t>
      </w:r>
    </w:p>
    <w:bookmarkEnd w:id="1"/>
    <w:p>
      <w:pPr>
        <w:pStyle w:val="196"/>
        <w:rPr>
          <w:lang w:val="fr-FR"/>
        </w:rPr>
      </w:pPr>
      <w:r>
        <w:rPr>
          <w:lang w:val="fr-FR"/>
        </w:rPr>
        <w:t>DB</w:t>
      </w:r>
      <w:bookmarkStart w:id="2" w:name="文字1"/>
      <w:r>
        <w:fldChar w:fldCharType="begin">
          <w:ffData>
            <w:name w:val="文字1"/>
            <w:enabled/>
            <w:calcOnExit w:val="0"/>
            <w:textInput>
              <w:default w:val="3702/T"/>
            </w:textInput>
          </w:ffData>
        </w:fldChar>
      </w:r>
      <w:r>
        <w:instrText xml:space="preserve"> FORMTEXT </w:instrText>
      </w:r>
      <w:r>
        <w:fldChar w:fldCharType="separate"/>
      </w:r>
      <w:r>
        <w:t>3702/T</w:t>
      </w:r>
      <w:r>
        <w:fldChar w:fldCharType="end"/>
      </w:r>
      <w:bookmarkEnd w:id="2"/>
      <w:r>
        <w:rPr>
          <w:rFonts w:hint="eastAsia"/>
        </w:rPr>
        <w:t xml:space="preserve"> </w:t>
      </w:r>
      <w:r>
        <w:fldChar w:fldCharType="begin">
          <w:ffData>
            <w:name w:val="NSTD_CODE_F"/>
            <w:enabled/>
            <w:calcOnExit w:val="0"/>
            <w:textInput>
              <w:default w:val="XXXX"/>
            </w:textInput>
          </w:ffData>
        </w:fldChar>
      </w:r>
      <w:bookmarkStart w:id="3" w:name="NSTD_CODE_F"/>
      <w:r>
        <w:rPr>
          <w:lang w:val="fr-FR"/>
        </w:rPr>
        <w:instrText xml:space="preserve"> FORMTEXT </w:instrText>
      </w:r>
      <w:r>
        <w:fldChar w:fldCharType="separate"/>
      </w:r>
      <w:r>
        <w:rPr>
          <w:lang w:val="fr-FR"/>
        </w:rPr>
        <w:t>XXXX</w:t>
      </w:r>
      <w:r>
        <w:fldChar w:fldCharType="end"/>
      </w:r>
      <w:bookmarkEnd w:id="3"/>
      <w:r>
        <w:rPr>
          <w:rFonts w:hAnsi="黑体"/>
          <w:lang w:val="fr-FR"/>
        </w:rPr>
        <w:t>—</w:t>
      </w:r>
      <w:r>
        <w:fldChar w:fldCharType="begin">
          <w:ffData>
            <w:name w:val="NSTD_CODE_B"/>
            <w:enabled/>
            <w:calcOnExit w:val="0"/>
            <w:textInput>
              <w:default w:val="XXXX"/>
            </w:textInput>
          </w:ffData>
        </w:fldChar>
      </w:r>
      <w:bookmarkStart w:id="4" w:name="NSTD_CODE_B"/>
      <w:r>
        <w:rPr>
          <w:lang w:val="fr-FR"/>
        </w:rPr>
        <w:instrText xml:space="preserve"> FORMTEXT </w:instrText>
      </w:r>
      <w:r>
        <w:fldChar w:fldCharType="separate"/>
      </w:r>
      <w:r>
        <w:rPr>
          <w:lang w:val="fr-FR"/>
        </w:rPr>
        <w:t>XXXX</w:t>
      </w:r>
      <w:r>
        <w:fldChar w:fldCharType="end"/>
      </w:r>
      <w:bookmarkEnd w:id="4"/>
    </w:p>
    <w:p>
      <w:pPr>
        <w:spacing w:line="240" w:lineRule="auto"/>
        <w:rPr>
          <w:rFonts w:ascii="黑体" w:hAnsi="黑体" w:eastAsia="黑体"/>
          <w:kern w:val="0"/>
          <w:sz w:val="10"/>
          <w:szCs w:val="10"/>
        </w:rPr>
      </w:pPr>
      <w:r>
        <w:rPr>
          <w:rFonts w:ascii="黑体" w:hAnsi="黑体" w:eastAsia="黑体"/>
          <w:kern w:val="0"/>
          <w:sz w:val="10"/>
          <w:szCs w:val="10"/>
        </w:rPr>
        <mc:AlternateContent>
          <mc:Choice Requires="wps">
            <w:drawing>
              <wp:anchor distT="0" distB="0" distL="114300" distR="114300" simplePos="0" relativeHeight="251660288" behindDoc="0" locked="0" layoutInCell="1" allowOverlap="0">
                <wp:simplePos x="0" y="0"/>
                <wp:positionH relativeFrom="page">
                  <wp:posOffset>900430</wp:posOffset>
                </wp:positionH>
                <wp:positionV relativeFrom="page">
                  <wp:posOffset>2700020</wp:posOffset>
                </wp:positionV>
                <wp:extent cx="6120130" cy="0"/>
                <wp:effectExtent l="0" t="0" r="13970" b="19050"/>
                <wp:wrapNone/>
                <wp:docPr id="73" name="直接连接符 73"/>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9pt;margin-top:212.6pt;height:0pt;width:481.9pt;mso-position-horizontal-relative:page;mso-position-vertical-relative:page;z-index:251660288;mso-width-relative:page;mso-height-relative:page;" filled="f" stroked="t" coordsize="21600,21600" o:allowoverlap="f" o:gfxdata="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Cd/iPM2AAAAAwBAAAP&#10;AAAAAAAAAAEAIAAAADgAAABkcnMvZG93bnJldi54bWxQSwECFAAUAAAACACHTuJAIj3GA8kBAABe&#10;AwAADgAAAAAAAAABACAAAAA9AQAAZHJzL2Uyb0RvYy54bWxQSwUGAAAAAAYABgBZAQAAeAUAAAAA&#10;">
                <v:fill on="f" focussize="0,0"/>
                <v:stroke color="#000000" joinstyle="round"/>
                <v:imagedata o:title=""/>
                <o:lock v:ext="edit" aspectratio="f"/>
              </v:line>
            </w:pict>
          </mc:Fallback>
        </mc:AlternateContent>
      </w:r>
    </w:p>
    <w:p>
      <w:pPr>
        <w:pStyle w:val="51"/>
        <w:framePr w:w="9639" w:h="6976" w:hRule="exact" w:hSpace="0" w:vSpace="0" w:hAnchor="page" w:y="6408"/>
        <w:jc w:val="center"/>
        <w:rPr>
          <w:rFonts w:ascii="黑体" w:hAnsi="黑体" w:eastAsia="黑体"/>
          <w:b w:val="0"/>
          <w:bCs w:val="0"/>
          <w:w w:val="100"/>
        </w:rPr>
      </w:pPr>
    </w:p>
    <w:p>
      <w:pPr>
        <w:pStyle w:val="198"/>
        <w:framePr w:h="6974" w:hRule="exact" w:x="1419" w:anchorLock="1"/>
      </w:pPr>
      <w:r>
        <w:rPr>
          <w:rFonts w:hint="eastAsia"/>
        </w:rPr>
        <w:t>会展活动碳足迹核算指南</w:t>
      </w:r>
    </w:p>
    <w:p>
      <w:pPr>
        <w:framePr w:w="9639" w:h="6974" w:hRule="exact" w:wrap="around" w:vAnchor="page" w:hAnchor="page" w:x="1419" w:y="6408" w:anchorLock="1"/>
        <w:ind w:left="-1418"/>
      </w:pPr>
    </w:p>
    <w:p>
      <w:pPr>
        <w:pStyle w:val="126"/>
        <w:framePr w:w="9639" w:h="6974" w:hRule="exact" w:wrap="around" w:vAnchor="page" w:hAnchor="page" w:x="1419" w:y="6408" w:anchorLock="1"/>
        <w:textAlignment w:val="bottom"/>
        <w:rPr>
          <w:rFonts w:eastAsia="黑体"/>
          <w:szCs w:val="28"/>
        </w:rPr>
      </w:pPr>
      <w:r>
        <w:rPr>
          <w:rFonts w:eastAsia="黑体"/>
          <w:szCs w:val="28"/>
        </w:rPr>
        <w:t>Guidelines for carbon footprint accounting of project and process of operating convention/exhibition</w:t>
      </w:r>
    </w:p>
    <w:p>
      <w:pPr>
        <w:framePr w:w="9639" w:h="6974" w:hRule="exact" w:wrap="around" w:vAnchor="page" w:hAnchor="page" w:x="1419" w:y="6408" w:anchorLock="1"/>
        <w:spacing w:line="760" w:lineRule="exact"/>
        <w:ind w:left="-1418"/>
      </w:pPr>
    </w:p>
    <w:p>
      <w:pPr>
        <w:pStyle w:val="126"/>
        <w:framePr w:w="9639" w:h="6974" w:hRule="exact" w:wrap="around" w:vAnchor="page" w:hAnchor="page" w:x="1419" w:y="6408" w:anchorLock="1"/>
        <w:textAlignment w:val="bottom"/>
        <w:rPr>
          <w:rFonts w:eastAsia="黑体"/>
          <w:szCs w:val="28"/>
        </w:rPr>
      </w:pPr>
    </w:p>
    <w:p>
      <w:pPr>
        <w:pStyle w:val="126"/>
        <w:framePr w:w="9639" w:h="6974" w:hRule="exact" w:wrap="around" w:vAnchor="page" w:hAnchor="page" w:x="1419" w:y="6408" w:anchorLock="1"/>
        <w:spacing w:before="440" w:after="160"/>
        <w:textAlignment w:val="bottom"/>
        <w:rPr>
          <w:sz w:val="24"/>
          <w:szCs w:val="28"/>
        </w:rPr>
      </w:pPr>
    </w:p>
    <w:p>
      <w:pPr>
        <w:pStyle w:val="194"/>
        <w:framePr w:y="14176"/>
      </w:pPr>
      <w:r>
        <w:rPr>
          <w:rFonts w:hint="eastAsia" w:ascii="黑体"/>
        </w:rPr>
        <w:t>2022</w:t>
      </w:r>
      <w:r>
        <w:rPr>
          <w:rFonts w:ascii="黑体"/>
        </w:rPr>
        <w:t>-</w:t>
      </w:r>
      <w:r>
        <w:rPr>
          <w:rFonts w:ascii="黑体"/>
        </w:rPr>
        <w:fldChar w:fldCharType="begin">
          <w:ffData>
            <w:name w:val="PLSH_DATE_M"/>
            <w:enabled/>
            <w:calcOnExit w:val="0"/>
            <w:textInput>
              <w:default w:val="XX"/>
              <w:maxLength w:val="2"/>
            </w:textInput>
          </w:ffData>
        </w:fldChar>
      </w:r>
      <w:bookmarkStart w:id="5"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5"/>
      <w:r>
        <w:rPr>
          <w:rFonts w:ascii="黑体"/>
        </w:rPr>
        <w:t>-</w:t>
      </w:r>
      <w:r>
        <w:rPr>
          <w:rFonts w:ascii="黑体"/>
        </w:rPr>
        <w:fldChar w:fldCharType="begin">
          <w:ffData>
            <w:name w:val="PLSH_DATE_D"/>
            <w:enabled/>
            <w:calcOnExit w:val="0"/>
            <w:textInput>
              <w:default w:val="XX"/>
              <w:maxLength w:val="2"/>
            </w:textInput>
          </w:ffData>
        </w:fldChar>
      </w:r>
      <w:bookmarkStart w:id="6" w:name="PLSH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6"/>
      <w:r>
        <w:rPr>
          <w:rFonts w:hint="eastAsia"/>
        </w:rPr>
        <w:t>发布</w:t>
      </w:r>
    </w:p>
    <w:p>
      <w:pPr>
        <w:pStyle w:val="195"/>
        <w:framePr w:y="14176"/>
      </w:pPr>
      <w:r>
        <w:rPr>
          <w:rFonts w:hint="eastAsia" w:ascii="黑体"/>
        </w:rPr>
        <w:t>2022</w:t>
      </w:r>
      <w:r>
        <w:rPr>
          <w:rFonts w:ascii="黑体"/>
        </w:rPr>
        <w:t>-</w:t>
      </w:r>
      <w:r>
        <w:rPr>
          <w:rFonts w:ascii="黑体"/>
        </w:rPr>
        <w:fldChar w:fldCharType="begin">
          <w:ffData>
            <w:name w:val="CROT_DATE_M"/>
            <w:enabled/>
            <w:calcOnExit w:val="0"/>
            <w:textInput>
              <w:default w:val="XX"/>
              <w:maxLength w:val="2"/>
            </w:textInput>
          </w:ffData>
        </w:fldChar>
      </w:r>
      <w:bookmarkStart w:id="7"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7"/>
      <w:r>
        <w:rPr>
          <w:rFonts w:ascii="黑体"/>
        </w:rPr>
        <w:t>-</w:t>
      </w:r>
      <w:r>
        <w:rPr>
          <w:rFonts w:ascii="黑体"/>
        </w:rPr>
        <w:fldChar w:fldCharType="begin">
          <w:ffData>
            <w:name w:val="CROT_DATE_D"/>
            <w:enabled/>
            <w:calcOnExit w:val="0"/>
            <w:textInput>
              <w:default w:val="XX"/>
              <w:maxLength w:val="2"/>
            </w:textInput>
          </w:ffData>
        </w:fldChar>
      </w:r>
      <w:bookmarkStart w:id="8"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8"/>
      <w:r>
        <w:rPr>
          <w:rFonts w:hint="eastAsia"/>
        </w:rPr>
        <w:t>实施</w:t>
      </w:r>
    </w:p>
    <w:p>
      <w:pPr>
        <w:pStyle w:val="152"/>
        <w:framePr w:h="584" w:hRule="exact" w:hSpace="181" w:vSpace="181" w:y="15027"/>
        <w:rPr>
          <w:rFonts w:hAnsi="黑体"/>
        </w:rPr>
      </w:pPr>
      <w:r>
        <w:rPr>
          <w:rFonts w:hint="eastAsia" w:hAnsi="黑体"/>
          <w:w w:val="100"/>
          <w:sz w:val="28"/>
        </w:rPr>
        <w:t>青岛市市场监督管理局</w:t>
      </w:r>
      <w:r>
        <w:rPr>
          <w:rFonts w:ascii="Times New Roman"/>
          <w:w w:val="100"/>
          <w:sz w:val="28"/>
        </w:rPr>
        <w:t>  </w:t>
      </w:r>
      <w:r>
        <w:rPr>
          <w:rStyle w:val="230"/>
          <w:rFonts w:hint="eastAsia" w:hAnsi="黑体"/>
          <w:position w:val="0"/>
        </w:rPr>
        <w:t>发</w:t>
      </w:r>
      <w:r>
        <w:rPr>
          <w:rStyle w:val="230"/>
          <w:rFonts w:hint="eastAsia" w:hAnsi="黑体"/>
          <w:spacing w:val="0"/>
          <w:position w:val="0"/>
        </w:rPr>
        <w:t>布</w:t>
      </w:r>
    </w:p>
    <w:p>
      <w:pPr>
        <w:rPr>
          <w:rFonts w:ascii="宋体" w:hAnsi="宋体"/>
          <w:sz w:val="28"/>
          <w:szCs w:val="28"/>
        </w:rPr>
        <w:sectPr>
          <w:headerReference r:id="rId5" w:type="first"/>
          <w:footerReference r:id="rId8" w:type="first"/>
          <w:headerReference r:id="rId3" w:type="default"/>
          <w:footerReference r:id="rId6" w:type="default"/>
          <w:headerReference r:id="rId4" w:type="even"/>
          <w:footerReference r:id="rId7" w:type="even"/>
          <w:type w:val="continuous"/>
          <w:pgSz w:w="11906" w:h="16838"/>
          <w:pgMar w:top="-338" w:right="1134" w:bottom="1021" w:left="1134" w:header="0" w:footer="0" w:gutter="284"/>
          <w:cols w:space="425" w:num="1"/>
          <w:titlePg/>
          <w:docGrid w:linePitch="312" w:charSpace="0"/>
        </w:sectPr>
      </w:pPr>
      <w:r>
        <w:rPr>
          <w:rFonts w:ascii="宋体" w:hAnsi="宋体"/>
          <w:sz w:val="28"/>
          <w:szCs w:val="28"/>
        </w:rPr>
        <mc:AlternateContent>
          <mc:Choice Requires="wps">
            <w:drawing>
              <wp:anchor distT="0" distB="0" distL="114300" distR="114300" simplePos="0" relativeHeight="251663360" behindDoc="0" locked="1" layoutInCell="1" allowOverlap="1">
                <wp:simplePos x="0" y="0"/>
                <wp:positionH relativeFrom="page">
                  <wp:posOffset>899795</wp:posOffset>
                </wp:positionH>
                <wp:positionV relativeFrom="page">
                  <wp:posOffset>9252585</wp:posOffset>
                </wp:positionV>
                <wp:extent cx="6120130" cy="0"/>
                <wp:effectExtent l="0" t="0" r="13970" b="1905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85pt;margin-top:728.55pt;height:0pt;width:481.9pt;mso-position-horizontal-relative:page;mso-position-vertical-relative:page;z-index:251663360;mso-width-relative:page;mso-height-relative:page;" filled="f" stroked="t" coordsize="21600,21600" o:gfxdata="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WAAAAZHJzL1BLAQIUABQAAAAIAIdO4kD5qdGL1wAAAA4BAAAPAAAA&#10;AAAAAAEAIAAAADgAAABkcnMvZG93bnJldi54bWxQSwECFAAUAAAACACHTuJA8MYXMccBAABcAwAA&#10;DgAAAAAAAAABACAAAAA8AQAAZHJzL2Uyb0RvYy54bWxQSwUGAAAAAAYABgBZAQAAdQUAAAAA&#10;">
                <v:fill on="f" focussize="0,0"/>
                <v:stroke color="#000000" joinstyle="round"/>
                <v:imagedata o:title=""/>
                <o:lock v:ext="edit" aspectratio="f"/>
                <w10:anchorlock/>
              </v:line>
            </w:pict>
          </mc:Fallback>
        </mc:AlternateContent>
      </w:r>
    </w:p>
    <w:p>
      <w:pPr>
        <w:pStyle w:val="92"/>
        <w:spacing w:after="468"/>
      </w:pPr>
      <w:bookmarkStart w:id="9" w:name="BookMark1"/>
      <w:r>
        <w:rPr>
          <w:rFonts w:hint="eastAsia"/>
          <w:spacing w:val="320"/>
        </w:rPr>
        <w:t>目</w:t>
      </w:r>
      <w:r>
        <w:rPr>
          <w:rFonts w:hint="eastAsia"/>
        </w:rPr>
        <w:t>次</w:t>
      </w:r>
    </w:p>
    <w:p>
      <w:pPr>
        <w:pStyle w:val="20"/>
        <w:tabs>
          <w:tab w:val="right" w:leader="dot" w:pos="9344"/>
        </w:tabs>
        <w:rPr>
          <w:rStyle w:val="31"/>
        </w:rPr>
      </w:pPr>
      <w:r>
        <w:fldChar w:fldCharType="begin"/>
      </w:r>
      <w:r>
        <w:instrText xml:space="preserve"> TOC \o "1-1" \h \t "标准文件_一级条标题,2,标准文件_附录一级条标题,2," </w:instrText>
      </w:r>
      <w:r>
        <w:fldChar w:fldCharType="separate"/>
      </w:r>
      <w:r>
        <w:fldChar w:fldCharType="begin"/>
      </w:r>
      <w:r>
        <w:instrText xml:space="preserve"> HYPERLINK \l "_Toc111814570" </w:instrText>
      </w:r>
      <w:r>
        <w:fldChar w:fldCharType="separate"/>
      </w:r>
      <w:r>
        <w:rPr>
          <w:rStyle w:val="31"/>
          <w:rFonts w:hint="eastAsia"/>
        </w:rPr>
        <w:t>前言</w:t>
      </w:r>
      <w:r>
        <w:rPr>
          <w:rStyle w:val="31"/>
        </w:rPr>
        <w:tab/>
      </w:r>
      <w:r>
        <w:rPr>
          <w:rStyle w:val="31"/>
        </w:rPr>
        <w:fldChar w:fldCharType="begin"/>
      </w:r>
      <w:r>
        <w:rPr>
          <w:rStyle w:val="31"/>
        </w:rPr>
        <w:instrText xml:space="preserve"> PAGEREF _Toc111814570 \h </w:instrText>
      </w:r>
      <w:r>
        <w:rPr>
          <w:rStyle w:val="31"/>
        </w:rPr>
        <w:fldChar w:fldCharType="separate"/>
      </w:r>
      <w:r>
        <w:rPr>
          <w:rStyle w:val="31"/>
        </w:rPr>
        <w:t>II</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"_Toc111814571" </w:instrText>
      </w:r>
      <w:r>
        <w:fldChar w:fldCharType="separate"/>
      </w:r>
      <w:r>
        <w:rPr>
          <w:rStyle w:val="31"/>
          <w:rFonts w:hint="eastAsia"/>
        </w:rPr>
        <w:t>引言</w:t>
      </w:r>
      <w:r>
        <w:rPr>
          <w:rStyle w:val="31"/>
        </w:rPr>
        <w:tab/>
      </w:r>
      <w:r>
        <w:rPr>
          <w:rStyle w:val="31"/>
        </w:rPr>
        <w:fldChar w:fldCharType="begin"/>
      </w:r>
      <w:r>
        <w:rPr>
          <w:rStyle w:val="31"/>
        </w:rPr>
        <w:instrText xml:space="preserve"> PAGEREF _Toc111814571 \h </w:instrText>
      </w:r>
      <w:r>
        <w:rPr>
          <w:rStyle w:val="31"/>
        </w:rPr>
        <w:fldChar w:fldCharType="separate"/>
      </w:r>
      <w:r>
        <w:rPr>
          <w:rStyle w:val="31"/>
        </w:rPr>
        <w:t>III</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"_Toc111814572" </w:instrText>
      </w:r>
      <w:r>
        <w:fldChar w:fldCharType="separate"/>
      </w:r>
      <w:r>
        <w:rPr>
          <w:rStyle w:val="31"/>
        </w:rPr>
        <w:t>1</w:t>
      </w:r>
      <w:r>
        <w:rPr>
          <w:rStyle w:val="31"/>
          <w:rFonts w:hint="eastAsia"/>
        </w:rPr>
        <w:t xml:space="preserve"> 范围</w:t>
      </w:r>
      <w:r>
        <w:rPr>
          <w:rStyle w:val="31"/>
        </w:rPr>
        <w:tab/>
      </w:r>
      <w:r>
        <w:rPr>
          <w:rStyle w:val="31"/>
        </w:rPr>
        <w:fldChar w:fldCharType="begin"/>
      </w:r>
      <w:r>
        <w:rPr>
          <w:rStyle w:val="31"/>
        </w:rPr>
        <w:instrText xml:space="preserve"> PAGEREF _Toc111814572 \h </w:instrText>
      </w:r>
      <w:r>
        <w:rPr>
          <w:rStyle w:val="31"/>
        </w:rPr>
        <w:fldChar w:fldCharType="separate"/>
      </w:r>
      <w:r>
        <w:rPr>
          <w:rStyle w:val="31"/>
        </w:rPr>
        <w:t>4</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"_Toc111814573" </w:instrText>
      </w:r>
      <w:r>
        <w:fldChar w:fldCharType="separate"/>
      </w:r>
      <w:r>
        <w:rPr>
          <w:rStyle w:val="31"/>
        </w:rPr>
        <w:t>2</w:t>
      </w:r>
      <w:r>
        <w:rPr>
          <w:rStyle w:val="31"/>
          <w:rFonts w:hint="eastAsia"/>
        </w:rPr>
        <w:t xml:space="preserve"> 规范性引用文件</w:t>
      </w:r>
      <w:r>
        <w:rPr>
          <w:rStyle w:val="31"/>
        </w:rPr>
        <w:tab/>
      </w:r>
      <w:r>
        <w:rPr>
          <w:rStyle w:val="31"/>
        </w:rPr>
        <w:fldChar w:fldCharType="begin"/>
      </w:r>
      <w:r>
        <w:rPr>
          <w:rStyle w:val="31"/>
        </w:rPr>
        <w:instrText xml:space="preserve"> PAGEREF _Toc111814573 \h </w:instrText>
      </w:r>
      <w:r>
        <w:rPr>
          <w:rStyle w:val="31"/>
        </w:rPr>
        <w:fldChar w:fldCharType="separate"/>
      </w:r>
      <w:r>
        <w:rPr>
          <w:rStyle w:val="31"/>
        </w:rPr>
        <w:t>4</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"_Toc111814574" </w:instrText>
      </w:r>
      <w:r>
        <w:fldChar w:fldCharType="separate"/>
      </w:r>
      <w:r>
        <w:rPr>
          <w:rStyle w:val="31"/>
        </w:rPr>
        <w:t>3</w:t>
      </w:r>
      <w:r>
        <w:rPr>
          <w:rStyle w:val="31"/>
          <w:rFonts w:hint="eastAsia"/>
        </w:rPr>
        <w:t xml:space="preserve"> 术语和定义</w:t>
      </w:r>
      <w:r>
        <w:rPr>
          <w:rStyle w:val="31"/>
        </w:rPr>
        <w:tab/>
      </w:r>
      <w:r>
        <w:rPr>
          <w:rStyle w:val="31"/>
        </w:rPr>
        <w:fldChar w:fldCharType="begin"/>
      </w:r>
      <w:r>
        <w:rPr>
          <w:rStyle w:val="31"/>
        </w:rPr>
        <w:instrText xml:space="preserve"> PAGEREF _Toc111814574 \h </w:instrText>
      </w:r>
      <w:r>
        <w:rPr>
          <w:rStyle w:val="31"/>
        </w:rPr>
        <w:fldChar w:fldCharType="separate"/>
      </w:r>
      <w:r>
        <w:rPr>
          <w:rStyle w:val="31"/>
        </w:rPr>
        <w:t>4</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"_Toc111814581" </w:instrText>
      </w:r>
      <w:r>
        <w:fldChar w:fldCharType="separate"/>
      </w:r>
      <w:r>
        <w:rPr>
          <w:rStyle w:val="31"/>
        </w:rPr>
        <w:t>4</w:t>
      </w:r>
      <w:r>
        <w:rPr>
          <w:rStyle w:val="31"/>
          <w:rFonts w:hint="eastAsia"/>
        </w:rPr>
        <w:t xml:space="preserve"> 核算原则</w:t>
      </w:r>
      <w:r>
        <w:rPr>
          <w:rStyle w:val="31"/>
        </w:rPr>
        <w:tab/>
      </w:r>
      <w:r>
        <w:rPr>
          <w:rStyle w:val="31"/>
        </w:rPr>
        <w:fldChar w:fldCharType="begin"/>
      </w:r>
      <w:r>
        <w:rPr>
          <w:rStyle w:val="31"/>
        </w:rPr>
        <w:instrText xml:space="preserve"> PAGEREF _Toc111814581 \h </w:instrText>
      </w:r>
      <w:r>
        <w:rPr>
          <w:rStyle w:val="31"/>
        </w:rPr>
        <w:fldChar w:fldCharType="separate"/>
      </w:r>
      <w:r>
        <w:rPr>
          <w:rStyle w:val="31"/>
        </w:rPr>
        <w:t>4</w:t>
      </w:r>
      <w:r>
        <w:rPr>
          <w:rStyle w:val="31"/>
        </w:rPr>
        <w:fldChar w:fldCharType="end"/>
      </w:r>
      <w:r>
        <w:rPr>
          <w:rStyle w:val="31"/>
        </w:rPr>
        <w:fldChar w:fldCharType="end"/>
      </w:r>
    </w:p>
    <w:p>
      <w:pPr>
        <w:pStyle w:val="25"/>
        <w:rPr>
          <w:rStyle w:val="31"/>
        </w:rPr>
      </w:pPr>
      <w:r>
        <w:fldChar w:fldCharType="begin"/>
      </w:r>
      <w:r>
        <w:instrText xml:space="preserve"> HYPERLINK \l "_Toc111814582" </w:instrText>
      </w:r>
      <w:r>
        <w:fldChar w:fldCharType="separate"/>
      </w:r>
      <w:r>
        <w:rPr>
          <w:rStyle w:val="31"/>
        </w:rPr>
        <w:t>4.1</w:t>
      </w:r>
      <w:r>
        <w:rPr>
          <w:rStyle w:val="31"/>
          <w:rFonts w:hint="eastAsia"/>
        </w:rPr>
        <w:t xml:space="preserve"> 准确性</w:t>
      </w:r>
      <w:r>
        <w:rPr>
          <w:rStyle w:val="31"/>
        </w:rPr>
        <w:tab/>
      </w:r>
      <w:r>
        <w:rPr>
          <w:rStyle w:val="31"/>
        </w:rPr>
        <w:fldChar w:fldCharType="begin"/>
      </w:r>
      <w:r>
        <w:rPr>
          <w:rStyle w:val="31"/>
        </w:rPr>
        <w:instrText xml:space="preserve"> PAGEREF _Toc111814582 \h </w:instrText>
      </w:r>
      <w:r>
        <w:rPr>
          <w:rStyle w:val="31"/>
        </w:rPr>
        <w:fldChar w:fldCharType="separate"/>
      </w:r>
      <w:r>
        <w:rPr>
          <w:rStyle w:val="31"/>
        </w:rPr>
        <w:t>4</w:t>
      </w:r>
      <w:r>
        <w:rPr>
          <w:rStyle w:val="31"/>
        </w:rPr>
        <w:fldChar w:fldCharType="end"/>
      </w:r>
      <w:r>
        <w:rPr>
          <w:rStyle w:val="31"/>
        </w:rPr>
        <w:fldChar w:fldCharType="end"/>
      </w:r>
    </w:p>
    <w:p>
      <w:pPr>
        <w:pStyle w:val="25"/>
        <w:rPr>
          <w:rStyle w:val="31"/>
        </w:rPr>
      </w:pPr>
      <w:r>
        <w:fldChar w:fldCharType="begin"/>
      </w:r>
      <w:r>
        <w:instrText xml:space="preserve"> HYPERLINK \l "_Toc111814583" </w:instrText>
      </w:r>
      <w:r>
        <w:fldChar w:fldCharType="separate"/>
      </w:r>
      <w:r>
        <w:rPr>
          <w:rStyle w:val="31"/>
        </w:rPr>
        <w:t>4.2</w:t>
      </w:r>
      <w:r>
        <w:rPr>
          <w:rStyle w:val="31"/>
          <w:rFonts w:hint="eastAsia"/>
        </w:rPr>
        <w:t xml:space="preserve"> 完整性</w:t>
      </w:r>
      <w:r>
        <w:rPr>
          <w:rStyle w:val="31"/>
        </w:rPr>
        <w:tab/>
      </w:r>
      <w:r>
        <w:rPr>
          <w:rStyle w:val="31"/>
        </w:rPr>
        <w:fldChar w:fldCharType="begin"/>
      </w:r>
      <w:r>
        <w:rPr>
          <w:rStyle w:val="31"/>
        </w:rPr>
        <w:instrText xml:space="preserve"> PAGEREF _Toc111814583 \h </w:instrText>
      </w:r>
      <w:r>
        <w:rPr>
          <w:rStyle w:val="31"/>
        </w:rPr>
        <w:fldChar w:fldCharType="separate"/>
      </w:r>
      <w:r>
        <w:rPr>
          <w:rStyle w:val="31"/>
        </w:rPr>
        <w:t>5</w:t>
      </w:r>
      <w:r>
        <w:rPr>
          <w:rStyle w:val="31"/>
        </w:rPr>
        <w:fldChar w:fldCharType="end"/>
      </w:r>
      <w:r>
        <w:rPr>
          <w:rStyle w:val="31"/>
        </w:rPr>
        <w:fldChar w:fldCharType="end"/>
      </w:r>
    </w:p>
    <w:p>
      <w:pPr>
        <w:pStyle w:val="25"/>
        <w:rPr>
          <w:rStyle w:val="31"/>
        </w:rPr>
      </w:pPr>
      <w:r>
        <w:fldChar w:fldCharType="begin"/>
      </w:r>
      <w:r>
        <w:instrText xml:space="preserve"> HYPERLINK \l "_Toc111814584" </w:instrText>
      </w:r>
      <w:r>
        <w:fldChar w:fldCharType="separate"/>
      </w:r>
      <w:r>
        <w:rPr>
          <w:rStyle w:val="31"/>
        </w:rPr>
        <w:t>4.3</w:t>
      </w:r>
      <w:r>
        <w:rPr>
          <w:rStyle w:val="31"/>
          <w:rFonts w:hint="eastAsia"/>
        </w:rPr>
        <w:t xml:space="preserve"> 科学性</w:t>
      </w:r>
      <w:r>
        <w:rPr>
          <w:rStyle w:val="31"/>
        </w:rPr>
        <w:tab/>
      </w:r>
      <w:r>
        <w:rPr>
          <w:rStyle w:val="31"/>
        </w:rPr>
        <w:fldChar w:fldCharType="begin"/>
      </w:r>
      <w:r>
        <w:rPr>
          <w:rStyle w:val="31"/>
        </w:rPr>
        <w:instrText xml:space="preserve"> PAGEREF _Toc111814584 \h </w:instrText>
      </w:r>
      <w:r>
        <w:rPr>
          <w:rStyle w:val="31"/>
        </w:rPr>
        <w:fldChar w:fldCharType="separate"/>
      </w:r>
      <w:r>
        <w:rPr>
          <w:rStyle w:val="31"/>
        </w:rPr>
        <w:t>5</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"_Toc111814585" </w:instrText>
      </w:r>
      <w:r>
        <w:fldChar w:fldCharType="separate"/>
      </w:r>
      <w:r>
        <w:rPr>
          <w:rStyle w:val="31"/>
        </w:rPr>
        <w:t>5</w:t>
      </w:r>
      <w:r>
        <w:rPr>
          <w:rStyle w:val="31"/>
          <w:rFonts w:hint="eastAsia"/>
        </w:rPr>
        <w:t xml:space="preserve"> 核算流程</w:t>
      </w:r>
      <w:r>
        <w:rPr>
          <w:rStyle w:val="31"/>
        </w:rPr>
        <w:tab/>
      </w:r>
      <w:r>
        <w:rPr>
          <w:rStyle w:val="31"/>
        </w:rPr>
        <w:fldChar w:fldCharType="begin"/>
      </w:r>
      <w:r>
        <w:rPr>
          <w:rStyle w:val="31"/>
        </w:rPr>
        <w:instrText xml:space="preserve"> PAGEREF _Toc111814585 \h </w:instrText>
      </w:r>
      <w:r>
        <w:rPr>
          <w:rStyle w:val="31"/>
        </w:rPr>
        <w:fldChar w:fldCharType="separate"/>
      </w:r>
      <w:r>
        <w:rPr>
          <w:rStyle w:val="31"/>
        </w:rPr>
        <w:t>5</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"_Toc111814586" </w:instrText>
      </w:r>
      <w:r>
        <w:fldChar w:fldCharType="separate"/>
      </w:r>
      <w:r>
        <w:rPr>
          <w:rStyle w:val="31"/>
        </w:rPr>
        <w:t>6</w:t>
      </w:r>
      <w:r>
        <w:rPr>
          <w:rStyle w:val="31"/>
          <w:rFonts w:hint="eastAsia"/>
        </w:rPr>
        <w:t xml:space="preserve"> 核算边界</w:t>
      </w:r>
      <w:r>
        <w:rPr>
          <w:rStyle w:val="31"/>
        </w:rPr>
        <w:tab/>
      </w:r>
      <w:r>
        <w:rPr>
          <w:rStyle w:val="31"/>
        </w:rPr>
        <w:fldChar w:fldCharType="begin"/>
      </w:r>
      <w:r>
        <w:rPr>
          <w:rStyle w:val="31"/>
        </w:rPr>
        <w:instrText xml:space="preserve"> PAGEREF _Toc111814586 \h </w:instrText>
      </w:r>
      <w:r>
        <w:rPr>
          <w:rStyle w:val="31"/>
        </w:rPr>
        <w:fldChar w:fldCharType="separate"/>
      </w:r>
      <w:r>
        <w:rPr>
          <w:rStyle w:val="31"/>
        </w:rPr>
        <w:t>5</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"_Toc111814587" </w:instrText>
      </w:r>
      <w:r>
        <w:fldChar w:fldCharType="separate"/>
      </w:r>
      <w:r>
        <w:rPr>
          <w:rStyle w:val="31"/>
        </w:rPr>
        <w:t>7</w:t>
      </w:r>
      <w:r>
        <w:rPr>
          <w:rStyle w:val="31"/>
          <w:rFonts w:hint="eastAsia"/>
        </w:rPr>
        <w:t xml:space="preserve"> 温室气体源识别</w:t>
      </w:r>
      <w:r>
        <w:rPr>
          <w:rStyle w:val="31"/>
        </w:rPr>
        <w:tab/>
      </w:r>
      <w:r>
        <w:rPr>
          <w:rStyle w:val="31"/>
        </w:rPr>
        <w:fldChar w:fldCharType="begin"/>
      </w:r>
      <w:r>
        <w:rPr>
          <w:rStyle w:val="31"/>
        </w:rPr>
        <w:instrText xml:space="preserve"> PAGEREF _Toc111814587 \h </w:instrText>
      </w:r>
      <w:r>
        <w:rPr>
          <w:rStyle w:val="31"/>
        </w:rPr>
        <w:fldChar w:fldCharType="separate"/>
      </w:r>
      <w:r>
        <w:rPr>
          <w:rStyle w:val="31"/>
        </w:rPr>
        <w:t>5</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"_Toc111814588" </w:instrText>
      </w:r>
      <w:r>
        <w:fldChar w:fldCharType="separate"/>
      </w:r>
      <w:r>
        <w:rPr>
          <w:rStyle w:val="31"/>
        </w:rPr>
        <w:t>8</w:t>
      </w:r>
      <w:r>
        <w:rPr>
          <w:rStyle w:val="31"/>
          <w:rFonts w:hint="eastAsia"/>
        </w:rPr>
        <w:t xml:space="preserve"> 核算方法</w:t>
      </w:r>
      <w:r>
        <w:rPr>
          <w:rStyle w:val="31"/>
        </w:rPr>
        <w:tab/>
      </w:r>
      <w:r>
        <w:rPr>
          <w:rStyle w:val="31"/>
        </w:rPr>
        <w:fldChar w:fldCharType="begin"/>
      </w:r>
      <w:r>
        <w:rPr>
          <w:rStyle w:val="31"/>
        </w:rPr>
        <w:instrText xml:space="preserve"> PAGEREF _Toc111814588 \h </w:instrText>
      </w:r>
      <w:r>
        <w:rPr>
          <w:rStyle w:val="31"/>
        </w:rPr>
        <w:fldChar w:fldCharType="separate"/>
      </w:r>
      <w:r>
        <w:rPr>
          <w:rStyle w:val="31"/>
        </w:rPr>
        <w:t>5</w:t>
      </w:r>
      <w:r>
        <w:rPr>
          <w:rStyle w:val="31"/>
        </w:rPr>
        <w:fldChar w:fldCharType="end"/>
      </w:r>
      <w:r>
        <w:rPr>
          <w:rStyle w:val="31"/>
        </w:rPr>
        <w:fldChar w:fldCharType="end"/>
      </w:r>
    </w:p>
    <w:p>
      <w:pPr>
        <w:pStyle w:val="25"/>
        <w:rPr>
          <w:rStyle w:val="31"/>
        </w:rPr>
      </w:pPr>
      <w:r>
        <w:fldChar w:fldCharType="begin"/>
      </w:r>
      <w:r>
        <w:instrText xml:space="preserve"> HYPERLINK \l "_Toc111814589" </w:instrText>
      </w:r>
      <w:r>
        <w:fldChar w:fldCharType="separate"/>
      </w:r>
      <w:r>
        <w:rPr>
          <w:rStyle w:val="31"/>
        </w:rPr>
        <w:t>8.1</w:t>
      </w:r>
      <w:r>
        <w:rPr>
          <w:rStyle w:val="31"/>
          <w:rFonts w:hint="eastAsia"/>
        </w:rPr>
        <w:t xml:space="preserve"> 计算公式</w:t>
      </w:r>
      <w:r>
        <w:rPr>
          <w:rStyle w:val="31"/>
        </w:rPr>
        <w:tab/>
      </w:r>
      <w:r>
        <w:rPr>
          <w:rStyle w:val="31"/>
        </w:rPr>
        <w:fldChar w:fldCharType="begin"/>
      </w:r>
      <w:r>
        <w:rPr>
          <w:rStyle w:val="31"/>
        </w:rPr>
        <w:instrText xml:space="preserve"> PAGEREF _Toc111814589 \h </w:instrText>
      </w:r>
      <w:r>
        <w:rPr>
          <w:rStyle w:val="31"/>
        </w:rPr>
        <w:fldChar w:fldCharType="separate"/>
      </w:r>
      <w:r>
        <w:rPr>
          <w:rStyle w:val="31"/>
        </w:rPr>
        <w:t>5</w:t>
      </w:r>
      <w:r>
        <w:rPr>
          <w:rStyle w:val="31"/>
        </w:rPr>
        <w:fldChar w:fldCharType="end"/>
      </w:r>
      <w:r>
        <w:rPr>
          <w:rStyle w:val="31"/>
        </w:rPr>
        <w:fldChar w:fldCharType="end"/>
      </w:r>
    </w:p>
    <w:p>
      <w:pPr>
        <w:pStyle w:val="25"/>
        <w:rPr>
          <w:rStyle w:val="31"/>
        </w:rPr>
      </w:pPr>
      <w:r>
        <w:fldChar w:fldCharType="begin"/>
      </w:r>
      <w:r>
        <w:instrText xml:space="preserve"> HYPERLINK \l "_Toc111814590" </w:instrText>
      </w:r>
      <w:r>
        <w:fldChar w:fldCharType="separate"/>
      </w:r>
      <w:r>
        <w:rPr>
          <w:rStyle w:val="31"/>
        </w:rPr>
        <w:t>8.2</w:t>
      </w:r>
      <w:r>
        <w:rPr>
          <w:rStyle w:val="31"/>
          <w:rFonts w:hint="eastAsia"/>
        </w:rPr>
        <w:t xml:space="preserve"> 活动数据收集</w:t>
      </w:r>
      <w:r>
        <w:rPr>
          <w:rStyle w:val="31"/>
        </w:rPr>
        <w:tab/>
      </w:r>
      <w:r>
        <w:rPr>
          <w:rStyle w:val="31"/>
        </w:rPr>
        <w:fldChar w:fldCharType="begin"/>
      </w:r>
      <w:r>
        <w:rPr>
          <w:rStyle w:val="31"/>
        </w:rPr>
        <w:instrText xml:space="preserve"> PAGEREF _Toc111814590 \h </w:instrText>
      </w:r>
      <w:r>
        <w:rPr>
          <w:rStyle w:val="31"/>
        </w:rPr>
        <w:fldChar w:fldCharType="separate"/>
      </w:r>
      <w:r>
        <w:rPr>
          <w:rStyle w:val="31"/>
        </w:rPr>
        <w:t>9</w:t>
      </w:r>
      <w:r>
        <w:rPr>
          <w:rStyle w:val="31"/>
        </w:rPr>
        <w:fldChar w:fldCharType="end"/>
      </w:r>
      <w:r>
        <w:rPr>
          <w:rStyle w:val="31"/>
        </w:rPr>
        <w:fldChar w:fldCharType="end"/>
      </w:r>
    </w:p>
    <w:p>
      <w:pPr>
        <w:pStyle w:val="25"/>
        <w:rPr>
          <w:rStyle w:val="31"/>
        </w:rPr>
      </w:pPr>
      <w:r>
        <w:fldChar w:fldCharType="begin"/>
      </w:r>
      <w:r>
        <w:instrText xml:space="preserve"> HYPERLINK \l "_Toc111814591" </w:instrText>
      </w:r>
      <w:r>
        <w:fldChar w:fldCharType="separate"/>
      </w:r>
      <w:r>
        <w:rPr>
          <w:rStyle w:val="31"/>
        </w:rPr>
        <w:t>8.3</w:t>
      </w:r>
      <w:r>
        <w:rPr>
          <w:rStyle w:val="31"/>
          <w:rFonts w:hint="eastAsia"/>
        </w:rPr>
        <w:t xml:space="preserve"> 排放因子选取</w:t>
      </w:r>
      <w:r>
        <w:rPr>
          <w:rStyle w:val="31"/>
        </w:rPr>
        <w:tab/>
      </w:r>
      <w:r>
        <w:rPr>
          <w:rStyle w:val="31"/>
        </w:rPr>
        <w:fldChar w:fldCharType="begin"/>
      </w:r>
      <w:r>
        <w:rPr>
          <w:rStyle w:val="31"/>
        </w:rPr>
        <w:instrText xml:space="preserve"> PAGEREF _Toc111814591 \h </w:instrText>
      </w:r>
      <w:r>
        <w:rPr>
          <w:rStyle w:val="31"/>
        </w:rPr>
        <w:fldChar w:fldCharType="separate"/>
      </w:r>
      <w:r>
        <w:rPr>
          <w:rStyle w:val="31"/>
        </w:rPr>
        <w:t>10</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"_Toc111814592" </w:instrText>
      </w:r>
      <w:r>
        <w:fldChar w:fldCharType="separate"/>
      </w:r>
      <w:r>
        <w:rPr>
          <w:rStyle w:val="31"/>
        </w:rPr>
        <w:t>9</w:t>
      </w:r>
      <w:r>
        <w:rPr>
          <w:rStyle w:val="31"/>
          <w:rFonts w:hint="eastAsia"/>
        </w:rPr>
        <w:t xml:space="preserve"> 核算报告</w:t>
      </w:r>
      <w:r>
        <w:rPr>
          <w:rStyle w:val="31"/>
        </w:rPr>
        <w:tab/>
      </w:r>
      <w:r>
        <w:rPr>
          <w:rStyle w:val="31"/>
        </w:rPr>
        <w:fldChar w:fldCharType="begin"/>
      </w:r>
      <w:r>
        <w:rPr>
          <w:rStyle w:val="31"/>
        </w:rPr>
        <w:instrText xml:space="preserve"> PAGEREF _Toc111814592 \h </w:instrText>
      </w:r>
      <w:r>
        <w:rPr>
          <w:rStyle w:val="31"/>
        </w:rPr>
        <w:fldChar w:fldCharType="separate"/>
      </w:r>
      <w:r>
        <w:rPr>
          <w:rStyle w:val="31"/>
        </w:rPr>
        <w:t>11</w:t>
      </w:r>
      <w:r>
        <w:rPr>
          <w:rStyle w:val="31"/>
        </w:rPr>
        <w:fldChar w:fldCharType="end"/>
      </w:r>
      <w:r>
        <w:rPr>
          <w:rStyle w:val="31"/>
        </w:rPr>
        <w:fldChar w:fldCharType="end"/>
      </w:r>
    </w:p>
    <w:p>
      <w:pPr>
        <w:pStyle w:val="20"/>
        <w:tabs>
          <w:tab w:val="right" w:leader="dot" w:pos="9344"/>
        </w:tabs>
        <w:rPr>
          <w:rStyle w:val="31"/>
        </w:rPr>
      </w:pPr>
      <w:r>
        <w:fldChar w:fldCharType="begin"/>
      </w:r>
      <w:r>
        <w:instrText xml:space="preserve"> HYPERLINK \l "_Toc111814593" </w:instrText>
      </w:r>
      <w:r>
        <w:fldChar w:fldCharType="separate"/>
      </w:r>
      <w:r>
        <w:rPr>
          <w:rStyle w:val="31"/>
          <w:rFonts w:hint="eastAsia"/>
        </w:rPr>
        <w:t>附录A（资料性）</w:t>
      </w:r>
      <w:r>
        <w:rPr>
          <w:rStyle w:val="31"/>
        </w:rPr>
        <w:t xml:space="preserve"> </w:t>
      </w:r>
      <w:r>
        <w:rPr>
          <w:rStyle w:val="31"/>
          <w:rFonts w:hint="eastAsia"/>
        </w:rPr>
        <w:t>会展活动碳足迹核算报告模板</w:t>
      </w:r>
      <w:r>
        <w:rPr>
          <w:rStyle w:val="31"/>
        </w:rPr>
        <w:tab/>
      </w:r>
      <w:r>
        <w:rPr>
          <w:rStyle w:val="31"/>
        </w:rPr>
        <w:fldChar w:fldCharType="begin"/>
      </w:r>
      <w:r>
        <w:rPr>
          <w:rStyle w:val="31"/>
        </w:rPr>
        <w:instrText xml:space="preserve"> PAGEREF _Toc111814593 \h </w:instrText>
      </w:r>
      <w:r>
        <w:rPr>
          <w:rStyle w:val="31"/>
        </w:rPr>
        <w:fldChar w:fldCharType="separate"/>
      </w:r>
      <w:r>
        <w:rPr>
          <w:rStyle w:val="31"/>
        </w:rPr>
        <w:t>13</w:t>
      </w:r>
      <w:r>
        <w:rPr>
          <w:rStyle w:val="31"/>
        </w:rPr>
        <w:fldChar w:fldCharType="end"/>
      </w:r>
      <w:r>
        <w:rPr>
          <w:rStyle w:val="31"/>
        </w:rPr>
        <w:fldChar w:fldCharType="end"/>
      </w:r>
    </w:p>
    <w:p>
      <w:pPr>
        <w:pStyle w:val="20"/>
        <w:tabs>
          <w:tab w:val="right" w:leader="dot" w:pos="9344"/>
        </w:tabs>
        <w:rPr>
          <w:rFonts w:asciiTheme="minorHAnsi" w:hAnsiTheme="minorHAnsi" w:eastAsiaTheme="minorEastAsia" w:cstheme="minorBidi"/>
          <w:szCs w:val="22"/>
        </w:rPr>
      </w:pPr>
      <w:r>
        <w:fldChar w:fldCharType="begin"/>
      </w:r>
      <w:r>
        <w:instrText xml:space="preserve"> HYPERLINK \l "_Toc111814594" </w:instrText>
      </w:r>
      <w:r>
        <w:fldChar w:fldCharType="separate"/>
      </w:r>
      <w:r>
        <w:rPr>
          <w:rStyle w:val="31"/>
          <w:rFonts w:hint="eastAsia"/>
        </w:rPr>
        <w:t>参考文献</w:t>
      </w:r>
      <w:r>
        <w:tab/>
      </w:r>
      <w:r>
        <w:fldChar w:fldCharType="begin"/>
      </w:r>
      <w:r>
        <w:instrText xml:space="preserve"> PAGEREF _Toc111814594 \h </w:instrText>
      </w:r>
      <w:r>
        <w:fldChar w:fldCharType="separate"/>
      </w:r>
      <w:r>
        <w:t>18</w:t>
      </w:r>
      <w:r>
        <w:fldChar w:fldCharType="end"/>
      </w:r>
      <w:r>
        <w:fldChar w:fldCharType="end"/>
      </w:r>
    </w:p>
    <w:p>
      <w:pPr>
        <w:pStyle w:val="92"/>
        <w:spacing w:after="468"/>
        <w:sectPr>
          <w:headerReference r:id="rId9" w:type="default"/>
          <w:footerReference r:id="rId11" w:type="default"/>
          <w:headerReference r:id="rId10" w:type="even"/>
          <w:pgSz w:w="11906" w:h="16838"/>
          <w:pgMar w:top="1928" w:right="1134" w:bottom="1134" w:left="1134" w:header="1418" w:footer="1134" w:gutter="284"/>
          <w:pgNumType w:fmt="upperRoman" w:start="1"/>
          <w:cols w:space="425" w:num="1"/>
          <w:formProt w:val="0"/>
          <w:docGrid w:type="lines" w:linePitch="312" w:charSpace="0"/>
        </w:sectPr>
      </w:pPr>
      <w:r>
        <w:fldChar w:fldCharType="end"/>
      </w:r>
    </w:p>
    <w:bookmarkEnd w:id="9"/>
    <w:p>
      <w:pPr>
        <w:pStyle w:val="90"/>
        <w:spacing w:after="468"/>
      </w:pPr>
      <w:bookmarkStart w:id="10" w:name="_Toc111814570"/>
      <w:bookmarkStart w:id="11" w:name="BookMark2"/>
      <w:r>
        <w:rPr>
          <w:spacing w:val="320"/>
        </w:rPr>
        <w:t>前</w:t>
      </w:r>
      <w:r>
        <w:t>言</w:t>
      </w:r>
      <w:bookmarkEnd w:id="10"/>
    </w:p>
    <w:p>
      <w:pPr>
        <w:pStyle w:val="57"/>
        <w:ind w:firstLine="420"/>
      </w:pPr>
      <w:r>
        <w:rPr>
          <w:rFonts w:hint="eastAsia"/>
        </w:rPr>
        <w:t>本文件按照GB/T 1.1—2020《标准化工作导则  第1部分：标准化文件的结构和起草规则》的规定起草。</w:t>
      </w:r>
    </w:p>
    <w:p>
      <w:pPr>
        <w:pStyle w:val="57"/>
        <w:ind w:firstLine="420"/>
      </w:pPr>
      <w:r>
        <w:rPr>
          <w:rFonts w:hint="eastAsia"/>
        </w:rPr>
        <w:t>本文件由中国国际贸易促进委员会青岛市分会提出并归口。</w:t>
      </w:r>
    </w:p>
    <w:p>
      <w:pPr>
        <w:pStyle w:val="57"/>
        <w:ind w:firstLine="420"/>
        <w:rPr>
          <w:rFonts w:hint="eastAsia"/>
        </w:rPr>
      </w:pPr>
      <w:r>
        <w:rPr>
          <w:rFonts w:hint="eastAsia"/>
        </w:rPr>
        <w:t>本文件起草单位：</w:t>
      </w:r>
    </w:p>
    <w:p>
      <w:pPr>
        <w:pStyle w:val="57"/>
        <w:ind w:firstLine="420"/>
      </w:pPr>
      <w:r>
        <w:rPr>
          <w:rFonts w:hint="eastAsia"/>
        </w:rPr>
        <w:t>本文件主要起草人：</w:t>
      </w:r>
      <w:bookmarkStart w:id="82" w:name="_GoBack"/>
      <w:bookmarkEnd w:id="82"/>
    </w:p>
    <w:p>
      <w:pPr>
        <w:pStyle w:val="57"/>
        <w:ind w:firstLine="420"/>
        <w:sectPr>
          <w:pgSz w:w="11906" w:h="16838"/>
          <w:pgMar w:top="1928" w:right="1134" w:bottom="1134" w:left="1134" w:header="1418" w:footer="1134" w:gutter="284"/>
          <w:pgNumType w:fmt="upperRoman"/>
          <w:cols w:space="425" w:num="1"/>
          <w:formProt w:val="0"/>
          <w:docGrid w:type="lines" w:linePitch="312" w:charSpace="0"/>
        </w:sectPr>
      </w:pPr>
    </w:p>
    <w:bookmarkEnd w:id="11"/>
    <w:p>
      <w:pPr>
        <w:pStyle w:val="90"/>
        <w:spacing w:after="468"/>
      </w:pPr>
      <w:bookmarkStart w:id="12" w:name="_Toc111814571"/>
      <w:bookmarkStart w:id="13" w:name="BookMark3"/>
      <w:r>
        <w:rPr>
          <w:spacing w:val="320"/>
        </w:rPr>
        <w:t>引</w:t>
      </w:r>
      <w:r>
        <w:t>言</w:t>
      </w:r>
      <w:bookmarkEnd w:id="12"/>
    </w:p>
    <w:p>
      <w:pPr>
        <w:pStyle w:val="57"/>
        <w:ind w:firstLine="420"/>
      </w:pPr>
      <w:r>
        <w:rPr>
          <w:rFonts w:hint="eastAsia"/>
        </w:rPr>
        <w:t>控制温室气体排放是我国积极应对全球气候变化的重要任务，对于加快转变经济发展方式、促进经济社会可持续发展、推进新的产业革命具有重要意义。实现碳达峰、碳中和，是以习近平同志为核心的党中央统筹国内国际两个大局作出的重大战略决策，事关中华民族永续发展和构建人类命运共同体。2020年9月，在第七十五届联合国大会一般性辩论上，国家主席习近平向全世界郑重宣布——中国“二氧化碳排放力争于2030年前达到峰值，努力争取2060年前实现碳中和”。2021年10月,中共中央国务院印发了《国家标准化发展纲要》，要求加快完善地区、行业、企业、产品等碳排放核查核算标准，制定重点行业和产品温室气体排放标准，实施碳达峰、碳中和标准化提升工程。2021年12月，国家标准委、中央网信办、科技部等10部门联合印发《“十四五”推动高质量发展的国家标准体系建设规划》，要求加快制定温室气体排放核算、报告和核查，温室气体减排效果评估等方面的标准。</w:t>
      </w:r>
    </w:p>
    <w:p>
      <w:pPr>
        <w:pStyle w:val="57"/>
        <w:ind w:firstLine="420"/>
      </w:pPr>
      <w:r>
        <w:rPr>
          <w:rFonts w:hint="eastAsia"/>
        </w:rPr>
        <w:t>2013年以来，国家发改委分三批印发了24个行业的《企业温室气体排放核算方法与报告指南(试行)的通知》。按照国家发改委的统一部署，2013年在全国选择了7个省(市)进行试点工作，确定青岛市作为试点城市之一。近年来，青岛市制定发布了《青岛市会展业“十四五”发展规划》，研究制定了《关于支持会展业发展的若干政策措施》，围绕国家战略，顺应行业趋势，积极引导扶持“绿色会展”发展，促进青岛会展业转型升级、提质增效。为进一步完善青岛市会展行业标准体系，促进行业的标准化、专业化、规模化发展，满足青岛市会展业高质量发展对标准的需求，促进青岛市会展业绿色、健康、可持续发展，制定本文件。</w:t>
      </w:r>
    </w:p>
    <w:p>
      <w:pPr>
        <w:pStyle w:val="57"/>
        <w:ind w:firstLine="420"/>
      </w:pPr>
    </w:p>
    <w:p>
      <w:pPr>
        <w:pStyle w:val="57"/>
        <w:ind w:firstLine="420"/>
        <w:sectPr>
          <w:pgSz w:w="11906" w:h="16838"/>
          <w:pgMar w:top="1928" w:right="1134" w:bottom="1134" w:left="1134" w:header="1418" w:footer="1134" w:gutter="284"/>
          <w:pgNumType w:fmt="upperRoman"/>
          <w:cols w:space="425" w:num="1"/>
          <w:formProt w:val="0"/>
          <w:docGrid w:type="lines" w:linePitch="312" w:charSpace="0"/>
        </w:sectPr>
      </w:pPr>
    </w:p>
    <w:bookmarkEnd w:id="13"/>
    <w:p>
      <w:pPr>
        <w:spacing w:line="20" w:lineRule="exact"/>
        <w:jc w:val="center"/>
        <w:rPr>
          <w:rFonts w:ascii="黑体" w:hAnsi="黑体" w:eastAsia="黑体"/>
          <w:sz w:val="32"/>
          <w:szCs w:val="32"/>
        </w:rPr>
      </w:pPr>
      <w:bookmarkStart w:id="14" w:name="BookMark4"/>
    </w:p>
    <w:p>
      <w:pPr>
        <w:spacing w:line="20" w:lineRule="exact"/>
        <w:jc w:val="center"/>
        <w:rPr>
          <w:rFonts w:ascii="黑体" w:hAnsi="黑体" w:eastAsia="黑体"/>
          <w:sz w:val="32"/>
          <w:szCs w:val="32"/>
        </w:rPr>
      </w:pPr>
    </w:p>
    <w:sdt>
      <w:sdtPr>
        <w:tag w:val="NEW_STAND_NAME"/>
        <w:id w:val="595910757"/>
        <w:lock w:val="sdtLocked"/>
        <w:placeholder>
          <w:docPart w:val="7607D26D1A1A4AE7A9A9FAD727AF76BD"/>
        </w:placeholder>
      </w:sdtPr>
      <w:sdtContent>
        <w:p>
          <w:pPr>
            <w:pStyle w:val="178"/>
            <w:spacing w:before="3" w:beforeLines="1" w:after="686" w:afterLines="220"/>
          </w:pPr>
          <w:bookmarkStart w:id="15" w:name="NEW_STAND_NAME"/>
          <w:r>
            <w:rPr>
              <w:rFonts w:hint="eastAsia"/>
            </w:rPr>
            <w:t>会展活动碳足迹核算指南</w:t>
          </w:r>
        </w:p>
      </w:sdtContent>
    </w:sdt>
    <w:bookmarkEnd w:id="15"/>
    <w:p>
      <w:pPr>
        <w:pStyle w:val="105"/>
        <w:spacing w:before="312" w:after="312"/>
      </w:pPr>
      <w:bookmarkStart w:id="16" w:name="_Toc26986771"/>
      <w:bookmarkStart w:id="17" w:name="_Toc24884218"/>
      <w:bookmarkStart w:id="18" w:name="_Toc26648465"/>
      <w:bookmarkStart w:id="19" w:name="_Toc97191423"/>
      <w:bookmarkStart w:id="20" w:name="_Toc24884211"/>
      <w:bookmarkStart w:id="21" w:name="_Toc26986530"/>
      <w:bookmarkStart w:id="22" w:name="_Toc111814572"/>
      <w:bookmarkStart w:id="23" w:name="_Toc26718930"/>
      <w:bookmarkStart w:id="24" w:name="_Toc17233325"/>
      <w:bookmarkStart w:id="25" w:name="_Toc17233333"/>
      <w:r>
        <w:rPr>
          <w:rFonts w:hint="eastAsia"/>
        </w:rPr>
        <w:t>范围</w:t>
      </w:r>
      <w:bookmarkEnd w:id="16"/>
      <w:bookmarkEnd w:id="17"/>
      <w:bookmarkEnd w:id="18"/>
      <w:bookmarkEnd w:id="19"/>
      <w:bookmarkEnd w:id="20"/>
      <w:bookmarkEnd w:id="21"/>
      <w:bookmarkEnd w:id="22"/>
      <w:bookmarkEnd w:id="23"/>
      <w:bookmarkEnd w:id="24"/>
      <w:bookmarkEnd w:id="25"/>
    </w:p>
    <w:p>
      <w:pPr>
        <w:pStyle w:val="57"/>
        <w:ind w:firstLine="420"/>
      </w:pPr>
      <w:bookmarkStart w:id="26" w:name="_Toc17233334"/>
      <w:bookmarkStart w:id="27" w:name="_Toc24884212"/>
      <w:bookmarkStart w:id="28" w:name="_Toc24884219"/>
      <w:bookmarkStart w:id="29" w:name="_Toc26648466"/>
      <w:bookmarkStart w:id="30" w:name="_Toc17233326"/>
      <w:r>
        <w:rPr>
          <w:rFonts w:hint="eastAsia"/>
        </w:rPr>
        <w:t>本文件提供了会展活动碳足迹核算时的核算原则、核算流程、核算边界、温室气体源识别、核算方法、核算报告方面的建议。</w:t>
      </w:r>
    </w:p>
    <w:p>
      <w:pPr>
        <w:pStyle w:val="57"/>
        <w:ind w:firstLine="420"/>
      </w:pPr>
      <w:r>
        <w:rPr>
          <w:rFonts w:hint="eastAsia"/>
        </w:rPr>
        <w:t>本文件适用于青岛市会展活动碳足迹核算活动。</w:t>
      </w:r>
    </w:p>
    <w:p>
      <w:pPr>
        <w:pStyle w:val="105"/>
        <w:spacing w:before="312" w:after="312"/>
      </w:pPr>
      <w:bookmarkStart w:id="31" w:name="_Toc26986531"/>
      <w:bookmarkStart w:id="32" w:name="_Toc111814573"/>
      <w:bookmarkStart w:id="33" w:name="_Toc97191424"/>
      <w:bookmarkStart w:id="34" w:name="_Toc26718931"/>
      <w:bookmarkStart w:id="35" w:name="_Toc26986772"/>
      <w:r>
        <w:rPr>
          <w:rFonts w:hint="eastAsia"/>
        </w:rPr>
        <w:t>规范性引用文件</w:t>
      </w:r>
      <w:bookmarkEnd w:id="26"/>
      <w:bookmarkEnd w:id="27"/>
      <w:bookmarkEnd w:id="28"/>
      <w:bookmarkEnd w:id="29"/>
      <w:bookmarkEnd w:id="30"/>
      <w:bookmarkEnd w:id="31"/>
      <w:bookmarkEnd w:id="32"/>
      <w:bookmarkEnd w:id="33"/>
      <w:bookmarkEnd w:id="34"/>
      <w:bookmarkEnd w:id="35"/>
    </w:p>
    <w:sdt>
      <w:sdtPr>
        <w:rPr>
          <w:rFonts w:hint="eastAsia"/>
        </w:rPr>
        <w:id w:val="715848253"/>
        <w:placeholder>
          <w:docPart w:val="3E6C4C4FB3D94F399F7F173ADC1BD1DE"/>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rPr>
      </w:sdtEndPr>
      <w:sdtContent>
        <w:p>
          <w:pPr>
            <w:pStyle w:val="57"/>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pPr>
        <w:pStyle w:val="57"/>
        <w:ind w:firstLine="420"/>
      </w:pPr>
      <w:r>
        <w:t>GB/T 32150</w:t>
      </w:r>
      <w:r>
        <w:rPr>
          <w:rFonts w:hint="eastAsia"/>
        </w:rPr>
        <w:t xml:space="preserve">  工业企业温室气体排放核算和报告通则</w:t>
      </w:r>
    </w:p>
    <w:p>
      <w:pPr>
        <w:pStyle w:val="105"/>
        <w:spacing w:before="312" w:after="312"/>
      </w:pPr>
      <w:bookmarkStart w:id="36" w:name="_Toc111814574"/>
      <w:bookmarkStart w:id="37" w:name="_Toc97191425"/>
      <w:r>
        <w:rPr>
          <w:rFonts w:hint="eastAsia"/>
          <w:szCs w:val="21"/>
        </w:rPr>
        <w:t>术语和定义</w:t>
      </w:r>
      <w:bookmarkEnd w:id="36"/>
      <w:bookmarkEnd w:id="37"/>
    </w:p>
    <w:sdt>
      <w:sdtPr>
        <w:id w:val="0"/>
        <w:placeholder>
          <w:docPart w:val="C510FBF903FE4EFCBC5ECB4E6936981D"/>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pPr>
            <w:pStyle w:val="57"/>
            <w:ind w:firstLine="420"/>
          </w:pPr>
          <w:bookmarkStart w:id="38" w:name="_Toc26986532"/>
          <w:bookmarkEnd w:id="38"/>
          <w:r>
            <w:t>GB/T 32150界定的以及下列术语和定义适用于本文件。</w:t>
          </w:r>
        </w:p>
      </w:sdtContent>
    </w:sdt>
    <w:p>
      <w:pPr>
        <w:pStyle w:val="106"/>
        <w:spacing w:before="156" w:after="156"/>
      </w:pPr>
      <w:bookmarkStart w:id="39" w:name="_Toc99352081"/>
      <w:bookmarkEnd w:id="39"/>
      <w:bookmarkStart w:id="40" w:name="_Toc108683176"/>
      <w:bookmarkEnd w:id="40"/>
      <w:bookmarkStart w:id="41" w:name="_Toc98427119"/>
      <w:bookmarkEnd w:id="41"/>
      <w:bookmarkStart w:id="42" w:name="_Toc107234010"/>
      <w:bookmarkEnd w:id="42"/>
      <w:bookmarkStart w:id="43" w:name="_Toc99356647"/>
      <w:bookmarkEnd w:id="43"/>
      <w:bookmarkStart w:id="44" w:name="_Toc111814575"/>
      <w:bookmarkEnd w:id="44"/>
      <w:bookmarkStart w:id="45" w:name="_Toc107234011"/>
      <w:bookmarkStart w:id="46" w:name="_Toc108683177"/>
      <w:bookmarkStart w:id="47" w:name="_Toc99352082"/>
      <w:bookmarkStart w:id="48" w:name="_Toc99356648"/>
      <w:bookmarkStart w:id="49" w:name="_Toc98427120"/>
    </w:p>
    <w:p>
      <w:pPr>
        <w:pStyle w:val="106"/>
        <w:numPr>
          <w:ilvl w:val="0"/>
          <w:numId w:val="0"/>
        </w:numPr>
        <w:spacing w:before="156" w:after="156"/>
        <w:ind w:firstLine="420" w:firstLineChars="200"/>
      </w:pPr>
      <w:bookmarkStart w:id="50" w:name="_Toc111814576"/>
      <w:r>
        <w:rPr>
          <w:rFonts w:hint="eastAsia" w:hAnsi="黑体"/>
        </w:rPr>
        <w:t xml:space="preserve">会展活动  </w:t>
      </w:r>
      <w:r>
        <w:rPr>
          <w:rFonts w:ascii="Times New Roman"/>
          <w:b/>
        </w:rPr>
        <w:t>project and process of operating convention/exhibition</w:t>
      </w:r>
      <w:bookmarkEnd w:id="45"/>
      <w:bookmarkEnd w:id="46"/>
      <w:bookmarkEnd w:id="47"/>
      <w:bookmarkEnd w:id="48"/>
      <w:bookmarkEnd w:id="49"/>
      <w:bookmarkEnd w:id="50"/>
    </w:p>
    <w:p>
      <w:pPr>
        <w:pStyle w:val="57"/>
        <w:ind w:firstLine="420"/>
      </w:pPr>
      <w:r>
        <w:rPr>
          <w:rFonts w:hint="eastAsia"/>
        </w:rPr>
        <w:t>在一定的地域空间，围绕特定主题，众多人聚集在一起形成的定期或不定期、制度或非制度的传递和交流信息的群众性社会交流活动，包括各种类型的博览会、展览会、展销会、大中型会议、竞技运动、文化活动、节庆活动、庙会活动等。</w:t>
      </w:r>
    </w:p>
    <w:p>
      <w:pPr>
        <w:pStyle w:val="106"/>
        <w:spacing w:before="156" w:after="156"/>
      </w:pPr>
      <w:bookmarkStart w:id="51" w:name="_Toc108683178"/>
      <w:bookmarkEnd w:id="51"/>
      <w:bookmarkStart w:id="52" w:name="_Toc107234012"/>
      <w:bookmarkEnd w:id="52"/>
      <w:bookmarkStart w:id="53" w:name="_Toc111814577"/>
      <w:bookmarkEnd w:id="53"/>
      <w:bookmarkStart w:id="54" w:name="_Toc98427121"/>
      <w:bookmarkEnd w:id="54"/>
      <w:bookmarkStart w:id="55" w:name="_Toc99356649"/>
      <w:bookmarkEnd w:id="55"/>
      <w:bookmarkStart w:id="56" w:name="_Toc99352083"/>
      <w:bookmarkEnd w:id="56"/>
      <w:bookmarkStart w:id="57" w:name="_Toc99352084"/>
      <w:bookmarkStart w:id="58" w:name="_Toc98427122"/>
      <w:bookmarkStart w:id="59" w:name="_Toc108683179"/>
      <w:bookmarkStart w:id="60" w:name="_Toc99356650"/>
      <w:bookmarkStart w:id="61" w:name="_Toc107234013"/>
    </w:p>
    <w:p>
      <w:pPr>
        <w:pStyle w:val="106"/>
        <w:numPr>
          <w:ilvl w:val="0"/>
          <w:numId w:val="0"/>
        </w:numPr>
        <w:spacing w:before="156" w:after="156"/>
        <w:ind w:firstLine="420" w:firstLineChars="200"/>
      </w:pPr>
      <w:bookmarkStart w:id="62" w:name="_Toc111814578"/>
      <w:r>
        <w:rPr>
          <w:rFonts w:hint="eastAsia" w:hAnsi="黑体"/>
        </w:rPr>
        <w:t xml:space="preserve">碳足迹  </w:t>
      </w:r>
      <w:r>
        <w:rPr>
          <w:rFonts w:ascii="Times New Roman"/>
          <w:b/>
        </w:rPr>
        <w:t>carbon footprint</w:t>
      </w:r>
      <w:bookmarkEnd w:id="57"/>
      <w:bookmarkEnd w:id="58"/>
      <w:bookmarkEnd w:id="59"/>
      <w:bookmarkEnd w:id="60"/>
      <w:bookmarkEnd w:id="61"/>
      <w:bookmarkEnd w:id="62"/>
    </w:p>
    <w:p>
      <w:pPr>
        <w:pStyle w:val="57"/>
        <w:ind w:firstLine="420"/>
        <w:rPr>
          <w:sz w:val="18"/>
          <w:szCs w:val="18"/>
        </w:rPr>
      </w:pPr>
      <w:r>
        <w:rPr>
          <w:rFonts w:hint="eastAsia"/>
        </w:rPr>
        <w:t>企业机构、活动、产品或个人引起的全生命周期温室气体排放的集合。</w:t>
      </w:r>
    </w:p>
    <w:p>
      <w:pPr>
        <w:pStyle w:val="180"/>
      </w:pPr>
      <w:r>
        <w:rPr>
          <w:rFonts w:hint="eastAsia"/>
        </w:rPr>
        <w:t>本文件涉及的温室气体包含二氧化碳（CO</w:t>
      </w:r>
      <w:r>
        <w:rPr>
          <w:rFonts w:hint="eastAsia"/>
          <w:vertAlign w:val="subscript"/>
        </w:rPr>
        <w:t>2</w:t>
      </w:r>
      <w:r>
        <w:rPr>
          <w:rFonts w:hint="eastAsia"/>
        </w:rPr>
        <w:t>）和甲烷（CH</w:t>
      </w:r>
      <w:r>
        <w:rPr>
          <w:rFonts w:hint="eastAsia"/>
          <w:vertAlign w:val="subscript"/>
        </w:rPr>
        <w:t>4</w:t>
      </w:r>
      <w:r>
        <w:rPr>
          <w:rFonts w:hint="eastAsia"/>
        </w:rPr>
        <w:t>）和氧化亚氮（N</w:t>
      </w:r>
      <w:r>
        <w:rPr>
          <w:rFonts w:hint="eastAsia"/>
          <w:vertAlign w:val="subscript"/>
        </w:rPr>
        <w:t>2</w:t>
      </w:r>
      <w:r>
        <w:rPr>
          <w:rFonts w:hint="eastAsia"/>
        </w:rPr>
        <w:t>O）。</w:t>
      </w:r>
    </w:p>
    <w:p>
      <w:pPr>
        <w:pStyle w:val="106"/>
        <w:spacing w:before="156" w:after="156"/>
      </w:pPr>
      <w:bookmarkStart w:id="63" w:name="_Toc111814579"/>
      <w:bookmarkEnd w:id="63"/>
    </w:p>
    <w:p>
      <w:pPr>
        <w:pStyle w:val="106"/>
        <w:numPr>
          <w:ilvl w:val="0"/>
          <w:numId w:val="0"/>
        </w:numPr>
        <w:spacing w:before="156" w:after="156"/>
        <w:ind w:firstLine="420" w:firstLineChars="200"/>
        <w:rPr>
          <w:rFonts w:ascii="Times New Roman"/>
          <w:b/>
        </w:rPr>
      </w:pPr>
      <w:bookmarkStart w:id="64" w:name="_Toc111814580"/>
      <w:r>
        <w:rPr>
          <w:rFonts w:hint="eastAsia" w:hAnsi="黑体"/>
        </w:rPr>
        <w:t xml:space="preserve">会展用品  </w:t>
      </w:r>
      <w:r>
        <w:rPr>
          <w:rFonts w:ascii="Times New Roman"/>
          <w:b/>
        </w:rPr>
        <w:t>convention/exhibition appliance</w:t>
      </w:r>
      <w:bookmarkEnd w:id="64"/>
    </w:p>
    <w:p>
      <w:pPr>
        <w:pStyle w:val="57"/>
        <w:ind w:firstLine="420"/>
      </w:pPr>
      <w:r>
        <w:rPr>
          <w:rFonts w:hint="eastAsia"/>
        </w:rPr>
        <w:t>在会展活动筹备和举办过程中用于搭建、展示、广告的器具和产品，包括展台、展具、广告材料等。</w:t>
      </w:r>
    </w:p>
    <w:p>
      <w:pPr>
        <w:pStyle w:val="180"/>
      </w:pPr>
      <w:r>
        <w:rPr>
          <w:rFonts w:hint="eastAsia"/>
        </w:rPr>
        <w:t>进行碳足迹核算时不包括循环使用的会展用品。</w:t>
      </w:r>
    </w:p>
    <w:p>
      <w:pPr>
        <w:pStyle w:val="105"/>
        <w:spacing w:before="312" w:after="312"/>
      </w:pPr>
      <w:bookmarkStart w:id="65" w:name="_Toc111814581"/>
      <w:r>
        <w:rPr>
          <w:rFonts w:hint="eastAsia"/>
        </w:rPr>
        <w:t>核算原则</w:t>
      </w:r>
      <w:bookmarkEnd w:id="65"/>
    </w:p>
    <w:p>
      <w:pPr>
        <w:pStyle w:val="106"/>
        <w:spacing w:before="156" w:after="156"/>
      </w:pPr>
      <w:bookmarkStart w:id="66" w:name="_Toc111814582"/>
      <w:r>
        <w:rPr>
          <w:rFonts w:hint="eastAsia"/>
        </w:rPr>
        <w:t>准确性</w:t>
      </w:r>
      <w:bookmarkEnd w:id="66"/>
    </w:p>
    <w:p>
      <w:pPr>
        <w:pStyle w:val="57"/>
        <w:ind w:firstLine="420"/>
      </w:pPr>
      <w:r>
        <w:rPr>
          <w:rFonts w:hint="eastAsia"/>
        </w:rPr>
        <w:t>在碳足迹核算过程中选择客观准确的碳排放数据源进行核算，确保核算结果具有可信度。</w:t>
      </w:r>
    </w:p>
    <w:p>
      <w:pPr>
        <w:pStyle w:val="106"/>
        <w:spacing w:before="156" w:after="156"/>
      </w:pPr>
      <w:bookmarkStart w:id="67" w:name="_Toc111814583"/>
      <w:r>
        <w:rPr>
          <w:rFonts w:hint="eastAsia"/>
        </w:rPr>
        <w:t>完整性</w:t>
      </w:r>
      <w:bookmarkEnd w:id="67"/>
    </w:p>
    <w:p>
      <w:pPr>
        <w:pStyle w:val="57"/>
        <w:ind w:firstLine="420"/>
      </w:pPr>
      <w:r>
        <w:rPr>
          <w:rFonts w:hint="eastAsia"/>
        </w:rPr>
        <w:t>对会展活动所有温室气体的温室气体源和活动进行确认和核算。</w:t>
      </w:r>
    </w:p>
    <w:p>
      <w:pPr>
        <w:pStyle w:val="106"/>
        <w:spacing w:before="156" w:after="156"/>
      </w:pPr>
      <w:bookmarkStart w:id="68" w:name="_Toc111814584"/>
      <w:r>
        <w:rPr>
          <w:rFonts w:hint="eastAsia"/>
        </w:rPr>
        <w:t>科学性</w:t>
      </w:r>
      <w:bookmarkEnd w:id="68"/>
    </w:p>
    <w:p>
      <w:pPr>
        <w:pStyle w:val="57"/>
        <w:ind w:firstLine="420"/>
      </w:pPr>
      <w:r>
        <w:rPr>
          <w:rFonts w:hint="eastAsia"/>
        </w:rPr>
        <w:t>选择确定适宜的核算边界、核算方法、活动数据、排放因子等，确保真实反映会展活动碳排放情况。</w:t>
      </w:r>
    </w:p>
    <w:p>
      <w:pPr>
        <w:pStyle w:val="105"/>
        <w:spacing w:before="312" w:after="312"/>
      </w:pPr>
      <w:bookmarkStart w:id="69" w:name="_Toc111814585"/>
      <w:r>
        <w:rPr>
          <w:rFonts w:hint="eastAsia"/>
        </w:rPr>
        <w:t>核算流程</w:t>
      </w:r>
      <w:bookmarkEnd w:id="69"/>
    </w:p>
    <w:p>
      <w:pPr>
        <w:pStyle w:val="57"/>
        <w:ind w:firstLine="420"/>
      </w:pPr>
      <w:r>
        <w:rPr>
          <w:rFonts w:hint="eastAsia"/>
        </w:rPr>
        <w:t>进行会展活动碳足迹核算与报告的工作程序为：</w:t>
      </w:r>
    </w:p>
    <w:p>
      <w:pPr>
        <w:pStyle w:val="175"/>
      </w:pPr>
      <w:r>
        <w:t>确定</w:t>
      </w:r>
      <w:r>
        <w:rPr>
          <w:rFonts w:hint="eastAsia"/>
        </w:rPr>
        <w:t>单次</w:t>
      </w:r>
      <w:r>
        <w:t>会展活动碳足迹核算边界；</w:t>
      </w:r>
    </w:p>
    <w:p>
      <w:pPr>
        <w:pStyle w:val="175"/>
      </w:pPr>
      <w:r>
        <w:t>识别会展活动</w:t>
      </w:r>
      <w:r>
        <w:rPr>
          <w:rFonts w:hint="eastAsia"/>
        </w:rPr>
        <w:t>温室气体</w:t>
      </w:r>
      <w:r>
        <w:t>源；</w:t>
      </w:r>
    </w:p>
    <w:p>
      <w:pPr>
        <w:pStyle w:val="175"/>
      </w:pPr>
      <w:r>
        <w:t>选择核算方法；</w:t>
      </w:r>
    </w:p>
    <w:p>
      <w:pPr>
        <w:pStyle w:val="175"/>
      </w:pPr>
      <w:r>
        <w:t>选择与收集活动数据；</w:t>
      </w:r>
    </w:p>
    <w:p>
      <w:pPr>
        <w:pStyle w:val="175"/>
      </w:pPr>
      <w:r>
        <w:t>选择或测算排放因子；</w:t>
      </w:r>
    </w:p>
    <w:p>
      <w:pPr>
        <w:pStyle w:val="175"/>
      </w:pPr>
      <w:r>
        <w:t>计算与汇总温室气体排放量；</w:t>
      </w:r>
    </w:p>
    <w:p>
      <w:pPr>
        <w:pStyle w:val="175"/>
      </w:pPr>
      <w:r>
        <w:t>发布碳足迹核算报告。</w:t>
      </w:r>
    </w:p>
    <w:p>
      <w:pPr>
        <w:pStyle w:val="105"/>
        <w:spacing w:before="312" w:after="312"/>
      </w:pPr>
      <w:bookmarkStart w:id="70" w:name="_Toc111814586"/>
      <w:r>
        <w:rPr>
          <w:rFonts w:hint="eastAsia"/>
        </w:rPr>
        <w:t>核算边界</w:t>
      </w:r>
      <w:bookmarkEnd w:id="70"/>
    </w:p>
    <w:p>
      <w:pPr>
        <w:pStyle w:val="57"/>
        <w:ind w:firstLine="420"/>
      </w:pPr>
      <w:r>
        <w:rPr>
          <w:rFonts w:hint="eastAsia"/>
        </w:rPr>
        <w:t>会展活动碳足迹的核算边界为：</w:t>
      </w:r>
    </w:p>
    <w:p>
      <w:pPr>
        <w:pStyle w:val="175"/>
        <w:numPr>
          <w:ilvl w:val="0"/>
          <w:numId w:val="32"/>
        </w:numPr>
      </w:pPr>
      <w:r>
        <w:t>地理边界包括会展活动举办场地的地理范围</w:t>
      </w:r>
      <w:r>
        <w:rPr>
          <w:rFonts w:hint="eastAsia"/>
        </w:rPr>
        <w:t>、</w:t>
      </w:r>
      <w:r>
        <w:t>参加会展人员往返差旅活动</w:t>
      </w:r>
      <w:r>
        <w:rPr>
          <w:rFonts w:hint="eastAsia"/>
        </w:rPr>
        <w:t>和活动废弃物处理</w:t>
      </w:r>
      <w:r>
        <w:t>涉及的地理范</w:t>
      </w:r>
      <w:r>
        <w:rPr>
          <w:rFonts w:hint="eastAsia"/>
        </w:rPr>
        <w:t>围；</w:t>
      </w:r>
    </w:p>
    <w:p>
      <w:pPr>
        <w:pStyle w:val="175"/>
      </w:pPr>
      <w:r>
        <w:t>时间范围包括会展活动的筹备、实施和收尾阶段；</w:t>
      </w:r>
    </w:p>
    <w:p>
      <w:pPr>
        <w:pStyle w:val="175"/>
      </w:pPr>
      <w:r>
        <w:t>设施边界包括为会展活动举办场地服务的固定燃烧源（如燃煤锅炉、燃气锅炉等）与移动燃烧源</w:t>
      </w:r>
      <w:r>
        <w:rPr>
          <w:rFonts w:hint="eastAsia"/>
        </w:rPr>
        <w:t>，会展用品以及废弃物处理设施。</w:t>
      </w:r>
    </w:p>
    <w:p>
      <w:pPr>
        <w:pStyle w:val="105"/>
        <w:spacing w:before="312" w:after="312"/>
      </w:pPr>
      <w:bookmarkStart w:id="71" w:name="_Toc111814587"/>
      <w:r>
        <w:rPr>
          <w:rFonts w:hint="eastAsia"/>
        </w:rPr>
        <w:t>温室气体源识别</w:t>
      </w:r>
      <w:bookmarkEnd w:id="71"/>
    </w:p>
    <w:p>
      <w:pPr>
        <w:pStyle w:val="57"/>
        <w:ind w:firstLine="420"/>
      </w:pPr>
      <w:r>
        <w:rPr>
          <w:rFonts w:hint="eastAsia"/>
        </w:rPr>
        <w:t>确定会展活动的核算边界后，宜根据活动的具体情况识别会展活动的温室气体源，会展活动的温室气体源宜至少包括：</w:t>
      </w:r>
    </w:p>
    <w:p>
      <w:pPr>
        <w:pStyle w:val="175"/>
        <w:numPr>
          <w:ilvl w:val="0"/>
          <w:numId w:val="33"/>
        </w:numPr>
      </w:pPr>
      <w:r>
        <w:rPr>
          <w:rFonts w:hint="eastAsia"/>
        </w:rPr>
        <w:t>活动举办场地固定燃烧源和会展活动举办过程中移动燃烧源燃烧消耗化石燃料所产生的排放；</w:t>
      </w:r>
    </w:p>
    <w:p>
      <w:pPr>
        <w:pStyle w:val="175"/>
      </w:pPr>
      <w:r>
        <w:rPr>
          <w:rFonts w:hint="eastAsia"/>
        </w:rPr>
        <w:t>净购入电力、热力排放；</w:t>
      </w:r>
    </w:p>
    <w:p>
      <w:pPr>
        <w:pStyle w:val="175"/>
      </w:pPr>
      <w:r>
        <w:rPr>
          <w:rFonts w:hint="eastAsia"/>
        </w:rPr>
        <w:t>会展人员往返交通产生的排放；</w:t>
      </w:r>
    </w:p>
    <w:p>
      <w:pPr>
        <w:pStyle w:val="175"/>
      </w:pPr>
      <w:r>
        <w:rPr>
          <w:rFonts w:hint="eastAsia"/>
        </w:rPr>
        <w:t>会展人员住宿产生的排放；</w:t>
      </w:r>
    </w:p>
    <w:p>
      <w:pPr>
        <w:pStyle w:val="175"/>
      </w:pPr>
      <w:r>
        <w:rPr>
          <w:rFonts w:hint="eastAsia"/>
        </w:rPr>
        <w:t>会展人员餐饮产生的排放；</w:t>
      </w:r>
    </w:p>
    <w:p>
      <w:pPr>
        <w:pStyle w:val="175"/>
      </w:pPr>
      <w:r>
        <w:rPr>
          <w:rFonts w:hint="eastAsia"/>
        </w:rPr>
        <w:t>会展用品隐含的碳排放；</w:t>
      </w:r>
    </w:p>
    <w:p>
      <w:pPr>
        <w:pStyle w:val="175"/>
      </w:pPr>
      <w:r>
        <w:rPr>
          <w:rFonts w:hint="eastAsia"/>
        </w:rPr>
        <w:t>活动废弃物处理产生的排放。</w:t>
      </w:r>
    </w:p>
    <w:p>
      <w:pPr>
        <w:pStyle w:val="105"/>
        <w:spacing w:before="312" w:after="312"/>
      </w:pPr>
      <w:bookmarkStart w:id="72" w:name="_Toc111814588"/>
      <w:r>
        <w:rPr>
          <w:rFonts w:hint="eastAsia"/>
        </w:rPr>
        <w:t>核算方法</w:t>
      </w:r>
      <w:bookmarkEnd w:id="72"/>
    </w:p>
    <w:p>
      <w:pPr>
        <w:pStyle w:val="106"/>
        <w:spacing w:before="156" w:after="156"/>
      </w:pPr>
      <w:bookmarkStart w:id="73" w:name="_Toc111814589"/>
      <w:r>
        <w:rPr>
          <w:rFonts w:hint="eastAsia"/>
        </w:rPr>
        <w:t>计算公式</w:t>
      </w:r>
      <w:bookmarkEnd w:id="73"/>
    </w:p>
    <w:p>
      <w:pPr>
        <w:pStyle w:val="66"/>
        <w:spacing w:before="156" w:after="156"/>
      </w:pPr>
      <w:r>
        <w:rPr>
          <w:rFonts w:hint="eastAsia"/>
        </w:rPr>
        <w:t>排放总量</w:t>
      </w:r>
    </w:p>
    <w:p>
      <w:pPr>
        <w:pStyle w:val="57"/>
        <w:ind w:firstLine="420"/>
      </w:pPr>
      <w:r>
        <w:rPr>
          <w:rFonts w:hint="eastAsia"/>
        </w:rPr>
        <w:t>会展活动的温室气体排放总量为活动举办场地固定燃烧源和活动举办过程中移动燃烧源燃料燃烧排放量、活动净购入电力和热力排放量、会展人员往返交通、住宿、餐饮产生的排放量、会展用品隐含的碳排放、废弃物处理产生的排放量之和，总体计算公式为式（</w:t>
      </w:r>
      <w:r>
        <w:t>1）：</w:t>
      </w:r>
    </w:p>
    <w:p>
      <w:pPr>
        <w:pStyle w:val="114"/>
      </w:pPr>
      <w:r>
        <w:tab/>
      </w:r>
      <w:r>
        <w:rPr>
          <w:position w:val="-12"/>
        </w:rPr>
        <w:object>
          <v:shape id="_x0000_i1025" o:spt="75" type="#_x0000_t75" style="height:16.5pt;width:231.35pt;" o:ole="t" filled="f" o:preferrelative="t" stroked="f" coordsize="21600,21600">
            <v:path/>
            <v:fill on="f" focussize="0,0"/>
            <v:stroke on="f" joinstyle="miter"/>
            <v:imagedata r:id="rId15" o:title=""/>
            <o:lock v:ext="edit" aspectratio="t"/>
            <w10:wrap type="none"/>
            <w10:anchorlock/>
          </v:shape>
          <o:OLEObject Type="Embed" ProgID="Equation.DSMT4" ShapeID="_x0000_i1025" DrawAspect="Content" ObjectID="_1468075725" r:id="rId14">
            <o:LockedField>false</o:LockedField>
          </o:OLEObject>
        </w:object>
      </w:r>
      <w:r>
        <w:rPr>
          <w:rFonts w:ascii="微软雅黑" w:hAnsi="微软雅黑" w:eastAsia="微软雅黑"/>
        </w:rPr>
        <w:tab/>
      </w:r>
      <w:r>
        <w:t>(</w:t>
      </w:r>
      <w:r>
        <w:fldChar w:fldCharType="begin"/>
      </w:r>
      <w:r>
        <w:instrText xml:space="preserve"> AUTONUM </w:instrText>
      </w:r>
      <w:r>
        <w:fldChar w:fldCharType="end"/>
      </w:r>
      <w:r>
        <w:t>)</w:t>
      </w:r>
    </w:p>
    <w:p>
      <w:pPr>
        <w:pStyle w:val="56"/>
        <w:ind w:firstLine="420"/>
        <w:rPr>
          <w:rFonts w:ascii="Times New Roman" w:hAnsi="Times New Roman"/>
        </w:rPr>
      </w:pPr>
      <w:r>
        <w:rPr>
          <w:rFonts w:ascii="Times New Roman" w:hAnsi="Times New Roman"/>
        </w:rPr>
        <w:t>式中：</w:t>
      </w:r>
    </w:p>
    <w:p>
      <w:pPr>
        <w:pStyle w:val="57"/>
        <w:spacing w:line="440" w:lineRule="exact"/>
        <w:ind w:firstLine="420"/>
        <w:rPr>
          <w:rFonts w:ascii="Times New Roman"/>
        </w:rPr>
      </w:pPr>
      <w:r>
        <w:rPr>
          <w:rFonts w:ascii="Times New Roman"/>
          <w:position w:val="-4"/>
        </w:rPr>
        <w:object>
          <v:shape id="_x0000_i1026" o:spt="75" type="#_x0000_t75" style="height:11.8pt;width:12.4pt;" o:ole="t" filled="f" o:preferrelative="t" stroked="f" coordsize="21600,21600">
            <v:path/>
            <v:fill on="f" focussize="0,0"/>
            <v:stroke on="f" joinstyle="miter"/>
            <v:imagedata r:id="rId17" o:title=""/>
            <o:lock v:ext="edit" aspectratio="t"/>
            <w10:wrap type="none"/>
            <w10:anchorlock/>
          </v:shape>
          <o:OLEObject Type="Embed" ProgID="Equation.DSMT4" ShapeID="_x0000_i1026" DrawAspect="Content" ObjectID="_1468075726" r:id="rId16">
            <o:LockedField>false</o:LockedField>
          </o:OLEObject>
        </w:object>
      </w:r>
      <w:r>
        <w:rPr>
          <w:rFonts w:ascii="Times New Roman"/>
          <w:position w:val="-4"/>
        </w:rPr>
        <w:t xml:space="preserve">    </w:t>
      </w:r>
      <w:r>
        <w:rPr>
          <w:rFonts w:ascii="Times New Roman"/>
        </w:rPr>
        <w:t>——会展活动碳足迹，即会展活动筹备、实施、收尾期间的温室气体排放总量，单位为吨二氧化碳当量（tCO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rPr>
      </w:pPr>
      <w:r>
        <w:rPr>
          <w:rFonts w:ascii="Times New Roman"/>
          <w:position w:val="-12"/>
        </w:rPr>
        <w:object>
          <v:shape id="_x0000_i1027" o:spt="75" type="#_x0000_t75" style="height:15.95pt;width:34.25pt;" o:ole="t" filled="f" o:preferrelative="t" stroked="f" coordsize="21600,21600">
            <v:path/>
            <v:fill on="f" focussize="0,0"/>
            <v:stroke on="f" joinstyle="miter"/>
            <v:imagedata r:id="rId19" o:title=""/>
            <o:lock v:ext="edit" aspectratio="t"/>
            <w10:wrap type="none"/>
            <w10:anchorlock/>
          </v:shape>
          <o:OLEObject Type="Embed" ProgID="Equation.DSMT4" ShapeID="_x0000_i1027" DrawAspect="Content" ObjectID="_1468075727" r:id="rId18">
            <o:LockedField>false</o:LockedField>
          </o:OLEObject>
        </w:object>
      </w:r>
      <w:r>
        <w:rPr>
          <w:rFonts w:ascii="Times New Roman"/>
        </w:rPr>
        <w:t>——会展活动服务的固定燃烧源和移动燃烧源化石燃料燃烧产生的排放量，单位为吨二氧化碳当量（tCO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rPr>
      </w:pPr>
      <w:r>
        <w:rPr>
          <w:rFonts w:ascii="Times New Roman"/>
          <w:position w:val="-12"/>
        </w:rPr>
        <w:object>
          <v:shape id="_x0000_i1028" o:spt="75" type="#_x0000_t75" style="height:15.95pt;width:21.85pt;" o:ole="t" filled="f" o:preferrelative="t" stroked="f" coordsize="21600,21600">
            <v:path/>
            <v:fill on="f" focussize="0,0"/>
            <v:stroke on="f" joinstyle="miter"/>
            <v:imagedata r:id="rId21" o:title=""/>
            <o:lock v:ext="edit" aspectratio="t"/>
            <w10:wrap type="none"/>
            <w10:anchorlock/>
          </v:shape>
          <o:OLEObject Type="Embed" ProgID="Equation.DSMT4" ShapeID="_x0000_i1028" DrawAspect="Content" ObjectID="_1468075728" r:id="rId20">
            <o:LockedField>false</o:LockedField>
          </o:OLEObject>
        </w:object>
      </w:r>
      <w:r>
        <w:rPr>
          <w:rFonts w:ascii="Times New Roman"/>
          <w:position w:val="-14"/>
        </w:rPr>
        <w:t xml:space="preserve">  </w:t>
      </w:r>
      <w:r>
        <w:rPr>
          <w:rFonts w:ascii="Times New Roman"/>
        </w:rPr>
        <w:t>——外购电力产生的间接温室气体排放量，单位为吨二氧化碳当量（tCO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rPr>
      </w:pPr>
      <w:r>
        <w:rPr>
          <w:rFonts w:ascii="Times New Roman"/>
          <w:position w:val="-12"/>
        </w:rPr>
        <w:object>
          <v:shape id="_x0000_i1029" o:spt="75" type="#_x0000_t75" style="height:15.95pt;width:22.45pt;" o:ole="t" filled="f" o:preferrelative="t" stroked="f" coordsize="21600,21600">
            <v:path/>
            <v:fill on="f" focussize="0,0"/>
            <v:stroke on="f" joinstyle="miter"/>
            <v:imagedata r:id="rId23" o:title=""/>
            <o:lock v:ext="edit" aspectratio="t"/>
            <w10:wrap type="none"/>
            <w10:anchorlock/>
          </v:shape>
          <o:OLEObject Type="Embed" ProgID="Equation.DSMT4" ShapeID="_x0000_i1029" DrawAspect="Content" ObjectID="_1468075729" r:id="rId22">
            <o:LockedField>false</o:LockedField>
          </o:OLEObject>
        </w:object>
      </w:r>
      <w:r>
        <w:rPr>
          <w:rFonts w:ascii="Times New Roman"/>
          <w:position w:val="-14"/>
        </w:rPr>
        <w:t xml:space="preserve">  </w:t>
      </w:r>
      <w:r>
        <w:rPr>
          <w:rFonts w:ascii="Times New Roman"/>
        </w:rPr>
        <w:t>——外购热力产生的间接温室气体排放量，单位为吨二氧化碳当量（tCO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rPr>
      </w:pPr>
      <w:r>
        <w:rPr>
          <w:rFonts w:ascii="Times New Roman"/>
          <w:position w:val="-12"/>
        </w:rPr>
        <w:object>
          <v:shape id="_x0000_i1030" o:spt="75" type="#_x0000_t75" style="height:15.95pt;width:22.45pt;" o:ole="t" filled="f" o:preferrelative="t" stroked="f" coordsize="21600,21600">
            <v:path/>
            <v:fill on="f" focussize="0,0"/>
            <v:stroke on="f" joinstyle="miter"/>
            <v:imagedata r:id="rId25" o:title=""/>
            <o:lock v:ext="edit" aspectratio="t"/>
            <w10:wrap type="none"/>
            <w10:anchorlock/>
          </v:shape>
          <o:OLEObject Type="Embed" ProgID="Equation.DSMT4" ShapeID="_x0000_i1030" DrawAspect="Content" ObjectID="_1468075730" r:id="rId24">
            <o:LockedField>false</o:LockedField>
          </o:OLEObject>
        </w:object>
      </w:r>
      <w:r>
        <w:rPr>
          <w:rFonts w:ascii="Times New Roman"/>
          <w:position w:val="-14"/>
        </w:rPr>
        <w:t xml:space="preserve">  </w:t>
      </w:r>
      <w:r>
        <w:rPr>
          <w:rFonts w:ascii="Times New Roman"/>
        </w:rPr>
        <w:t>——会展活动会展人员往返交通产生的温室气体排放量，单位为吨二氧化碳当量（tCO</w:t>
      </w:r>
      <w:r>
        <w:rPr>
          <w:rFonts w:ascii="Times New Roman"/>
          <w:vertAlign w:val="subscript"/>
        </w:rPr>
        <w:t>2</w:t>
      </w:r>
      <w:r>
        <w:rPr>
          <w:rFonts w:ascii="Times New Roman"/>
        </w:rPr>
        <w:t>e）；</w:t>
      </w:r>
    </w:p>
    <w:p>
      <w:pPr>
        <w:pStyle w:val="57"/>
        <w:spacing w:line="440" w:lineRule="exact"/>
        <w:ind w:firstLine="400"/>
        <w:rPr>
          <w:rFonts w:ascii="Times New Roman"/>
        </w:rPr>
      </w:pPr>
      <w:r>
        <w:rPr>
          <w:rFonts w:ascii="Times New Roman"/>
          <w:position w:val="-12"/>
          <w:sz w:val="20"/>
        </w:rPr>
        <w:object>
          <v:shape id="_x0000_i1031" o:spt="75" type="#_x0000_t75" style="height:15.95pt;width:22.45pt;" o:ole="t" filled="f" o:preferrelative="t" stroked="f" coordsize="21600,21600">
            <v:path/>
            <v:fill on="f" focussize="0,0"/>
            <v:stroke on="f" joinstyle="miter"/>
            <v:imagedata r:id="rId27" o:title=""/>
            <o:lock v:ext="edit" aspectratio="t"/>
            <w10:wrap type="none"/>
            <w10:anchorlock/>
          </v:shape>
          <o:OLEObject Type="Embed" ProgID="Equation.DSMT4" ShapeID="_x0000_i1031" DrawAspect="Content" ObjectID="_1468075731" r:id="rId26">
            <o:LockedField>false</o:LockedField>
          </o:OLEObject>
        </w:object>
      </w:r>
      <w:r>
        <w:rPr>
          <w:rFonts w:ascii="Times New Roman"/>
          <w:position w:val="-14"/>
        </w:rPr>
        <w:t xml:space="preserve">  </w:t>
      </w:r>
      <w:r>
        <w:rPr>
          <w:rFonts w:ascii="Times New Roman"/>
        </w:rPr>
        <w:t>——会展活动会展人员住宿产生的温室气体排放量，单位为吨二氧化碳当量（tCO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rPr>
      </w:pPr>
      <w:r>
        <w:rPr>
          <w:rFonts w:ascii="Times New Roman"/>
          <w:position w:val="-12"/>
        </w:rPr>
        <w:object>
          <v:shape id="_x0000_i1032" o:spt="75" type="#_x0000_t75" style="height:17.1pt;width:23pt;" o:ole="t" filled="f" o:preferrelative="t" stroked="f" coordsize="21600,21600">
            <v:path/>
            <v:fill on="f" focussize="0,0"/>
            <v:stroke on="f" joinstyle="miter"/>
            <v:imagedata r:id="rId29" o:title=""/>
            <o:lock v:ext="edit" aspectratio="t"/>
            <w10:wrap type="none"/>
            <w10:anchorlock/>
          </v:shape>
          <o:OLEObject Type="Embed" ProgID="Equation.DSMT4" ShapeID="_x0000_i1032" DrawAspect="Content" ObjectID="_1468075732" r:id="rId28">
            <o:LockedField>false</o:LockedField>
          </o:OLEObject>
        </w:object>
      </w:r>
      <w:r>
        <w:rPr>
          <w:rFonts w:ascii="Times New Roman"/>
        </w:rPr>
        <w:t xml:space="preserve">  ——会展活动会展人员餐饮产生的温室气体排放量，单位为吨二氧化碳当量（tCO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rPr>
      </w:pPr>
      <w:r>
        <w:rPr>
          <w:rFonts w:ascii="Times New Roman"/>
          <w:position w:val="-12"/>
        </w:rPr>
        <w:object>
          <v:shape id="_x0000_i1033" o:spt="75" type="#_x0000_t75" style="height:17.1pt;width:21.85pt;" o:ole="t" filled="f" o:preferrelative="t" stroked="f" coordsize="21600,21600">
            <v:path/>
            <v:fill on="f" focussize="0,0"/>
            <v:stroke on="f" joinstyle="miter"/>
            <v:imagedata r:id="rId31" o:title=""/>
            <o:lock v:ext="edit" aspectratio="t"/>
            <w10:wrap type="none"/>
            <w10:anchorlock/>
          </v:shape>
          <o:OLEObject Type="Embed" ProgID="Equation.DSMT4" ShapeID="_x0000_i1033" DrawAspect="Content" ObjectID="_1468075733" r:id="rId30">
            <o:LockedField>false</o:LockedField>
          </o:OLEObject>
        </w:object>
      </w:r>
      <w:r>
        <w:rPr>
          <w:rFonts w:ascii="Times New Roman"/>
        </w:rPr>
        <w:t xml:space="preserve">  ——会展用品隐含的碳排放量，单位为吨二氧化碳当量（tCO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rPr>
      </w:pPr>
      <w:r>
        <w:rPr>
          <w:rFonts w:ascii="Times New Roman"/>
          <w:position w:val="-12"/>
        </w:rPr>
        <w:object>
          <v:shape id="_x0000_i1034" o:spt="75" type="#_x0000_t75" style="height:16.5pt;width:27.75pt;" o:ole="t" filled="f" o:preferrelative="t" stroked="f" coordsize="21600,21600">
            <v:path/>
            <v:fill on="f" focussize="0,0"/>
            <v:stroke on="f" joinstyle="miter"/>
            <v:imagedata r:id="rId33" o:title=""/>
            <o:lock v:ext="edit" aspectratio="t"/>
            <w10:wrap type="none"/>
            <w10:anchorlock/>
          </v:shape>
          <o:OLEObject Type="Embed" ProgID="Equation.DSMT4" ShapeID="_x0000_i1034" DrawAspect="Content" ObjectID="_1468075734" r:id="rId32">
            <o:LockedField>false</o:LockedField>
          </o:OLEObject>
        </w:object>
      </w:r>
      <w:r>
        <w:rPr>
          <w:rFonts w:ascii="Times New Roman"/>
        </w:rPr>
        <w:t xml:space="preserve"> ——会展活动产生的废弃物处理产生的温室气体排放量，单位为吨二氧化碳当量（tCO</w:t>
      </w:r>
      <w:r>
        <w:rPr>
          <w:rFonts w:ascii="Times New Roman"/>
          <w:vertAlign w:val="subscript"/>
        </w:rPr>
        <w:t>2</w:t>
      </w:r>
      <w:r>
        <w:rPr>
          <w:rFonts w:ascii="Times New Roman"/>
        </w:rPr>
        <w:t>e）。</w:t>
      </w:r>
    </w:p>
    <w:p>
      <w:pPr>
        <w:pStyle w:val="66"/>
        <w:spacing w:before="156" w:after="156"/>
      </w:pPr>
      <w:r>
        <w:rPr>
          <w:rFonts w:hint="eastAsia"/>
        </w:rPr>
        <w:t>燃料</w:t>
      </w:r>
      <w:r>
        <w:t>燃烧排放</w:t>
      </w:r>
      <w:r>
        <w:rPr>
          <w:rFonts w:hint="eastAsia"/>
        </w:rPr>
        <w:t>量</w:t>
      </w:r>
    </w:p>
    <w:p>
      <w:pPr>
        <w:pStyle w:val="165"/>
        <w:rPr>
          <w:rFonts w:ascii="Times New Roman"/>
        </w:rPr>
      </w:pPr>
      <w:r>
        <w:rPr>
          <w:rFonts w:ascii="Times New Roman"/>
        </w:rPr>
        <w:t>会展活动固定燃烧源和移动燃烧源消耗的燃料如汽油、柴油、天然气、液化石油气等，燃烧产生的温室气体排放量计算公式为式（2）：</w:t>
      </w:r>
    </w:p>
    <w:p>
      <w:pPr>
        <w:pStyle w:val="114"/>
        <w:rPr>
          <w:rFonts w:ascii="Times New Roman" w:hAnsi="Times New Roman"/>
        </w:rPr>
      </w:pPr>
      <w:r>
        <w:rPr>
          <w:rFonts w:ascii="Times New Roman" w:hAnsi="Times New Roman"/>
        </w:rPr>
        <w:tab/>
      </w:r>
      <w:r>
        <w:rPr>
          <w:rFonts w:ascii="Times New Roman" w:hAnsi="Times New Roman"/>
          <w:position w:val="-26"/>
        </w:rPr>
        <w:object>
          <v:shape id="_x0000_i1035" o:spt="75" type="#_x0000_t75" style="height:31.3pt;width:105.05pt;" o:ole="t" filled="f" o:preferrelative="t" stroked="f" coordsize="21600,21600">
            <v:path/>
            <v:fill on="f" focussize="0,0"/>
            <v:stroke on="f" joinstyle="miter"/>
            <v:imagedata r:id="rId35" o:title=""/>
            <o:lock v:ext="edit" aspectratio="t"/>
            <w10:wrap type="none"/>
            <w10:anchorlock/>
          </v:shape>
          <o:OLEObject Type="Embed" ProgID="Equation.DSMT4" ShapeID="_x0000_i1035" DrawAspect="Content" ObjectID="_1468075735" r:id="rId34">
            <o:LockedField>false</o:LockedField>
          </o:OLEObject>
        </w:object>
      </w:r>
      <w:r>
        <w:rPr>
          <w:rFonts w:ascii="Times New Roman" w:hAnsi="Times New Roman" w:eastAsia="微软雅黑"/>
        </w:rPr>
        <w:tab/>
      </w:r>
      <w:r>
        <w:rPr>
          <w:rFonts w:ascii="Times New Roman" w:hAnsi="Times New Roman"/>
        </w:rPr>
        <w:t>(</w:t>
      </w:r>
      <w:r>
        <w:rPr>
          <w:rFonts w:ascii="Times New Roman" w:hAnsi="Times New Roman"/>
        </w:rPr>
        <w:fldChar w:fldCharType="begin"/>
      </w:r>
      <w:r>
        <w:rPr>
          <w:rFonts w:ascii="Times New Roman" w:hAnsi="Times New Roman"/>
        </w:rPr>
        <w:instrText xml:space="preserve"> AUTONUM </w:instrText>
      </w:r>
      <w:r>
        <w:rPr>
          <w:rFonts w:ascii="Times New Roman" w:hAnsi="Times New Roman"/>
        </w:rPr>
        <w:fldChar w:fldCharType="end"/>
      </w:r>
      <w:r>
        <w:rPr>
          <w:rFonts w:ascii="Times New Roman" w:hAnsi="Times New Roman"/>
        </w:rPr>
        <w:t>)</w:t>
      </w:r>
    </w:p>
    <w:p>
      <w:pPr>
        <w:pStyle w:val="56"/>
        <w:ind w:firstLine="420"/>
        <w:rPr>
          <w:rFonts w:ascii="Times New Roman" w:hAnsi="Times New Roman"/>
        </w:rPr>
      </w:pPr>
      <w:r>
        <w:rPr>
          <w:rFonts w:ascii="Times New Roman" w:hAnsi="Times New Roman"/>
        </w:rPr>
        <w:t>式中：</w:t>
      </w:r>
    </w:p>
    <w:p>
      <w:pPr>
        <w:pStyle w:val="57"/>
        <w:spacing w:line="440" w:lineRule="exact"/>
        <w:ind w:firstLine="420"/>
        <w:rPr>
          <w:rFonts w:ascii="Times New Roman"/>
        </w:rPr>
      </w:pPr>
      <w:r>
        <w:rPr>
          <w:rFonts w:ascii="Times New Roman"/>
          <w:position w:val="-12"/>
        </w:rPr>
        <w:object>
          <v:shape id="_x0000_i1036" o:spt="75" type="#_x0000_t75" style="height:15.95pt;width:34.25pt;" o:ole="t" filled="f" o:preferrelative="t" stroked="f" coordsize="21600,21600">
            <v:path/>
            <v:fill on="f" focussize="0,0"/>
            <v:stroke on="f" joinstyle="miter"/>
            <v:imagedata r:id="rId37" o:title=""/>
            <o:lock v:ext="edit" aspectratio="t"/>
            <w10:wrap type="none"/>
            <w10:anchorlock/>
          </v:shape>
          <o:OLEObject Type="Embed" ProgID="Equation.DSMT4" ShapeID="_x0000_i1036" DrawAspect="Content" ObjectID="_1468075736" r:id="rId36">
            <o:LockedField>false</o:LockedField>
          </o:OLEObject>
        </w:object>
      </w:r>
      <w:r>
        <w:rPr>
          <w:rFonts w:ascii="Times New Roman"/>
        </w:rPr>
        <w:t>——会展活动服务的固定燃烧源和移动燃烧源燃料所燃烧产生的排放量，单位为吨二氧化碳当量（tCO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rPr>
      </w:pPr>
      <w:r>
        <w:rPr>
          <w:rFonts w:ascii="Times New Roman"/>
          <w:position w:val="-10"/>
        </w:rPr>
        <w:object>
          <v:shape id="_x0000_i1037" o:spt="75" type="#_x0000_t75" style="height:15.95pt;width:19.5pt;" o:ole="t" filled="f" o:preferrelative="t" stroked="f" coordsize="21600,21600">
            <v:path/>
            <v:fill on="f" focussize="0,0"/>
            <v:stroke on="f" joinstyle="miter"/>
            <v:imagedata r:id="rId39" o:title=""/>
            <o:lock v:ext="edit" aspectratio="t"/>
            <w10:wrap type="none"/>
            <w10:anchorlock/>
          </v:shape>
          <o:OLEObject Type="Embed" ProgID="Equation.DSMT4" ShapeID="_x0000_i1037" DrawAspect="Content" ObjectID="_1468075737" r:id="rId38">
            <o:LockedField>false</o:LockedField>
          </o:OLEObject>
        </w:object>
      </w:r>
      <w:r>
        <w:rPr>
          <w:rFonts w:ascii="Times New Roman"/>
          <w:position w:val="-12"/>
        </w:rPr>
        <w:t xml:space="preserve">  </w:t>
      </w:r>
      <w:r>
        <w:rPr>
          <w:rFonts w:ascii="Times New Roman"/>
          <w:spacing w:val="-20"/>
          <w:position w:val="-12"/>
        </w:rPr>
        <w:t xml:space="preserve"> </w:t>
      </w:r>
      <w:r>
        <w:rPr>
          <w:rFonts w:ascii="Times New Roman"/>
        </w:rPr>
        <w:t>——会展活动服务的固定和移动燃烧源消耗的第i种燃料的活动水平，单位为吉焦（GJ）；</w:t>
      </w:r>
    </w:p>
    <w:p>
      <w:pPr>
        <w:pStyle w:val="57"/>
        <w:spacing w:line="440" w:lineRule="exact"/>
        <w:ind w:firstLine="420"/>
        <w:rPr>
          <w:rFonts w:ascii="Times New Roman"/>
        </w:rPr>
      </w:pPr>
      <w:r>
        <w:rPr>
          <w:rFonts w:ascii="Times New Roman"/>
          <w:position w:val="-10"/>
        </w:rPr>
        <w:object>
          <v:shape id="_x0000_i1038" o:spt="75" type="#_x0000_t75" style="height:15.95pt;width:16.5pt;" o:ole="t" filled="f" o:preferrelative="t" stroked="f" coordsize="21600,21600">
            <v:path/>
            <v:fill on="f" focussize="0,0"/>
            <v:stroke on="f" joinstyle="miter"/>
            <v:imagedata r:id="rId41" o:title=""/>
            <o:lock v:ext="edit" aspectratio="t"/>
            <w10:wrap type="none"/>
            <w10:anchorlock/>
          </v:shape>
          <o:OLEObject Type="Embed" ProgID="Equation.DSMT4" ShapeID="_x0000_i1038" DrawAspect="Content" ObjectID="_1468075738" r:id="rId40">
            <o:LockedField>false</o:LockedField>
          </o:OLEObject>
        </w:object>
      </w:r>
      <w:r>
        <w:rPr>
          <w:rFonts w:ascii="Times New Roman"/>
          <w:position w:val="-12"/>
        </w:rPr>
        <w:t xml:space="preserve">   </w:t>
      </w:r>
      <w:r>
        <w:rPr>
          <w:rFonts w:ascii="Times New Roman"/>
        </w:rPr>
        <w:t>——第i种燃料的二氧化碳排放因子，单位为吨二氧化碳/吉焦（tCO</w:t>
      </w:r>
      <w:r>
        <w:rPr>
          <w:rFonts w:ascii="Times New Roman"/>
          <w:vertAlign w:val="subscript"/>
        </w:rPr>
        <w:t>2</w:t>
      </w:r>
      <w:r>
        <w:rPr>
          <w:rFonts w:ascii="Times New Roman"/>
        </w:rPr>
        <w:t>/GJ）；</w:t>
      </w:r>
    </w:p>
    <w:p>
      <w:pPr>
        <w:pStyle w:val="57"/>
        <w:spacing w:line="440" w:lineRule="exact"/>
        <w:ind w:firstLine="420"/>
        <w:rPr>
          <w:rFonts w:ascii="Times New Roman"/>
        </w:rPr>
      </w:pPr>
      <w:r>
        <w:rPr>
          <w:rFonts w:ascii="Times New Roman"/>
          <w:position w:val="-6"/>
        </w:rPr>
        <w:object>
          <v:shape id="_x0000_i1039" o:spt="75" type="#_x0000_t75" style="height:14.15pt;width:5.3pt;" o:ole="t" filled="f" o:preferrelative="t" stroked="f" coordsize="21600,21600">
            <v:path/>
            <v:fill on="f" focussize="0,0"/>
            <v:stroke on="f" joinstyle="miter"/>
            <v:imagedata r:id="rId43" o:title=""/>
            <o:lock v:ext="edit" aspectratio="t"/>
            <w10:wrap type="none"/>
            <w10:anchorlock/>
          </v:shape>
          <o:OLEObject Type="Embed" ProgID="Equation.DSMT4" ShapeID="_x0000_i1039" DrawAspect="Content" ObjectID="_1468075739" r:id="rId42">
            <o:LockedField>false</o:LockedField>
          </o:OLEObject>
        </w:object>
      </w:r>
      <w:r>
        <w:rPr>
          <w:rFonts w:ascii="Times New Roman"/>
          <w:position w:val="-6"/>
        </w:rPr>
        <w:t xml:space="preserve">     </w:t>
      </w:r>
      <w:r>
        <w:rPr>
          <w:rFonts w:ascii="Times New Roman"/>
        </w:rPr>
        <w:t>——固定燃烧源和移动燃烧源消耗的化石燃料类型代号。</w:t>
      </w:r>
    </w:p>
    <w:p>
      <w:pPr>
        <w:pStyle w:val="165"/>
        <w:textAlignment w:val="center"/>
        <w:rPr>
          <w:rFonts w:ascii="Times New Roman"/>
        </w:rPr>
      </w:pPr>
      <w:r>
        <w:rPr>
          <w:rFonts w:ascii="Times New Roman"/>
        </w:rPr>
        <w:t>第i种化石燃料燃烧的活动水平</w:t>
      </w:r>
      <w:r>
        <w:rPr>
          <w:rFonts w:ascii="Times New Roman"/>
        </w:rPr>
        <w:object>
          <v:shape id="_x0000_i1040" o:spt="75" type="#_x0000_t75" style="height:18.9pt;width:20.05pt;" o:ole="t" filled="f" o:preferrelative="t" stroked="f" coordsize="21600,21600">
            <v:path/>
            <v:fill on="f" focussize="0,0"/>
            <v:stroke on="f" joinstyle="miter"/>
            <v:imagedata r:id="rId45" o:title=""/>
            <o:lock v:ext="edit" aspectratio="t"/>
            <w10:wrap type="none"/>
            <w10:anchorlock/>
          </v:shape>
          <o:OLEObject Type="Embed" ProgID="Equation.DSMT4" ShapeID="_x0000_i1040" DrawAspect="Content" ObjectID="_1468075740" r:id="rId44">
            <o:LockedField>false</o:LockedField>
          </o:OLEObject>
        </w:object>
      </w:r>
      <w:r>
        <w:rPr>
          <w:rFonts w:ascii="Times New Roman"/>
        </w:rPr>
        <w:t>计算公式为式（3）：</w:t>
      </w:r>
    </w:p>
    <w:p>
      <w:pPr>
        <w:pStyle w:val="114"/>
        <w:rPr>
          <w:rFonts w:ascii="Times New Roman" w:hAnsi="Times New Roman"/>
        </w:rPr>
      </w:pPr>
      <w:r>
        <w:rPr>
          <w:rFonts w:ascii="Times New Roman" w:hAnsi="Times New Roman"/>
        </w:rPr>
        <w:tab/>
      </w:r>
      <w:r>
        <w:rPr>
          <w:rFonts w:ascii="Times New Roman" w:hAnsi="Times New Roman"/>
          <w:position w:val="-10"/>
        </w:rPr>
        <w:object>
          <v:shape id="_x0000_i1041" o:spt="75" type="#_x0000_t75" style="height:16.5pt;width:75.55pt;" o:ole="t" filled="f" o:preferrelative="t" stroked="f" coordsize="21600,21600">
            <v:path/>
            <v:fill on="f" focussize="0,0"/>
            <v:stroke on="f" joinstyle="miter"/>
            <v:imagedata r:id="rId47" o:title=""/>
            <o:lock v:ext="edit" aspectratio="t"/>
            <w10:wrap type="none"/>
            <w10:anchorlock/>
          </v:shape>
          <o:OLEObject Type="Embed" ProgID="Equation.DSMT4" ShapeID="_x0000_i1041" DrawAspect="Content" ObjectID="_1468075741" r:id="rId46">
            <o:LockedField>false</o:LockedField>
          </o:OLEObject>
        </w:object>
      </w:r>
      <w:r>
        <w:rPr>
          <w:rFonts w:ascii="Times New Roman" w:hAnsi="Times New Roman" w:eastAsia="微软雅黑"/>
        </w:rPr>
        <w:tab/>
      </w:r>
      <w:r>
        <w:rPr>
          <w:rFonts w:ascii="Times New Roman" w:hAnsi="Times New Roman"/>
        </w:rPr>
        <w:t>(</w:t>
      </w:r>
      <w:r>
        <w:rPr>
          <w:rFonts w:ascii="Times New Roman" w:hAnsi="Times New Roman"/>
        </w:rPr>
        <w:fldChar w:fldCharType="begin"/>
      </w:r>
      <w:r>
        <w:rPr>
          <w:rFonts w:ascii="Times New Roman" w:hAnsi="Times New Roman"/>
        </w:rPr>
        <w:instrText xml:space="preserve"> AUTONUM </w:instrText>
      </w:r>
      <w:r>
        <w:rPr>
          <w:rFonts w:ascii="Times New Roman" w:hAnsi="Times New Roman"/>
        </w:rPr>
        <w:fldChar w:fldCharType="end"/>
      </w:r>
      <w:r>
        <w:rPr>
          <w:rFonts w:ascii="Times New Roman" w:hAnsi="Times New Roman"/>
        </w:rPr>
        <w:t>)</w:t>
      </w:r>
    </w:p>
    <w:p>
      <w:pPr>
        <w:pStyle w:val="56"/>
        <w:ind w:firstLine="420"/>
        <w:rPr>
          <w:rFonts w:ascii="Times New Roman" w:hAnsi="Times New Roman"/>
        </w:rPr>
      </w:pPr>
      <w:r>
        <w:rPr>
          <w:rFonts w:ascii="Times New Roman" w:hAnsi="Times New Roman"/>
        </w:rPr>
        <w:t>式中：</w:t>
      </w:r>
    </w:p>
    <w:p>
      <w:pPr>
        <w:pStyle w:val="57"/>
        <w:spacing w:line="400" w:lineRule="exact"/>
        <w:ind w:firstLine="420"/>
        <w:rPr>
          <w:rFonts w:ascii="Times New Roman"/>
        </w:rPr>
      </w:pPr>
      <w:r>
        <w:rPr>
          <w:rFonts w:ascii="Times New Roman"/>
          <w:position w:val="-10"/>
        </w:rPr>
        <w:object>
          <v:shape id="_x0000_i1042" o:spt="75" type="#_x0000_t75" style="height:15.95pt;width:19.5pt;" o:ole="t" filled="f" o:preferrelative="t" stroked="f" coordsize="21600,21600">
            <v:path/>
            <v:fill on="f" focussize="0,0"/>
            <v:stroke on="f" joinstyle="miter"/>
            <v:imagedata r:id="rId49" o:title=""/>
            <o:lock v:ext="edit" aspectratio="t"/>
            <w10:wrap type="none"/>
            <w10:anchorlock/>
          </v:shape>
          <o:OLEObject Type="Embed" ProgID="Equation.DSMT4" ShapeID="_x0000_i1042" DrawAspect="Content" ObjectID="_1468075742" r:id="rId48">
            <o:LockedField>false</o:LockedField>
          </o:OLEObject>
        </w:object>
      </w:r>
      <w:r>
        <w:rPr>
          <w:rFonts w:ascii="Times New Roman"/>
          <w:position w:val="-12"/>
        </w:rPr>
        <w:t xml:space="preserve">  </w:t>
      </w:r>
      <w:r>
        <w:rPr>
          <w:rFonts w:ascii="Times New Roman"/>
        </w:rPr>
        <w:t>——为会展活动服务的固定和移动燃烧源消耗的第i种燃料的活动水平，单位为吉焦（GJ）；</w:t>
      </w:r>
    </w:p>
    <w:p>
      <w:pPr>
        <w:pStyle w:val="57"/>
        <w:spacing w:line="400" w:lineRule="exact"/>
        <w:ind w:firstLine="420"/>
        <w:rPr>
          <w:rFonts w:ascii="Times New Roman"/>
        </w:rPr>
      </w:pPr>
      <w:r>
        <w:rPr>
          <w:rFonts w:ascii="Times New Roman"/>
          <w:position w:val="-10"/>
        </w:rPr>
        <w:object>
          <v:shape id="_x0000_i1043" o:spt="75" type="#_x0000_t75" style="height:15.95pt;width:25.4pt;" o:ole="t" filled="f" o:preferrelative="t" stroked="f" coordsize="21600,21600">
            <v:path/>
            <v:fill on="f" focussize="0,0"/>
            <v:stroke on="f" joinstyle="miter"/>
            <v:imagedata r:id="rId51" o:title=""/>
            <o:lock v:ext="edit" aspectratio="t"/>
            <w10:wrap type="none"/>
            <w10:anchorlock/>
          </v:shape>
          <o:OLEObject Type="Embed" ProgID="Equation.DSMT4" ShapeID="_x0000_i1043" DrawAspect="Content" ObjectID="_1468075743" r:id="rId50">
            <o:LockedField>false</o:LockedField>
          </o:OLEObject>
        </w:object>
      </w:r>
      <w:r>
        <w:rPr>
          <w:rFonts w:ascii="Times New Roman"/>
          <w:spacing w:val="-20"/>
          <w:position w:val="-12"/>
        </w:rPr>
        <w:t xml:space="preserve"> </w:t>
      </w:r>
      <w:r>
        <w:rPr>
          <w:rFonts w:ascii="Times New Roman"/>
        </w:rPr>
        <w:t>——为会展活动服务的固定和移动燃烧源消耗的第i种燃料的平均低位发热量，固体和液体燃料单位为吉焦/吨（GJ/t）；气体燃料单位为吉焦/万标立方米（GJ/10</w:t>
      </w:r>
      <w:r>
        <w:rPr>
          <w:rFonts w:ascii="Times New Roman"/>
          <w:vertAlign w:val="superscript"/>
        </w:rPr>
        <w:t>4</w:t>
      </w:r>
      <w:r>
        <w:rPr>
          <w:rFonts w:ascii="Times New Roman"/>
        </w:rPr>
        <w:t>Nm</w:t>
      </w:r>
      <w:r>
        <w:rPr>
          <w:rFonts w:ascii="Times New Roman"/>
          <w:vertAlign w:val="superscript"/>
        </w:rPr>
        <w:t>3</w:t>
      </w:r>
      <w:r>
        <w:rPr>
          <w:rFonts w:ascii="Times New Roman"/>
        </w:rPr>
        <w:t>）；</w:t>
      </w:r>
    </w:p>
    <w:p>
      <w:pPr>
        <w:pStyle w:val="57"/>
        <w:spacing w:line="400" w:lineRule="exact"/>
        <w:ind w:firstLine="420"/>
        <w:rPr>
          <w:rFonts w:ascii="Times New Roman"/>
        </w:rPr>
      </w:pPr>
      <w:r>
        <w:rPr>
          <w:rFonts w:ascii="Times New Roman"/>
          <w:position w:val="-10"/>
        </w:rPr>
        <w:object>
          <v:shape id="_x0000_i1044" o:spt="75" type="#_x0000_t75" style="height:15.95pt;width:19.5pt;" o:ole="t" filled="f" o:preferrelative="t" stroked="f" coordsize="21600,21600">
            <v:path/>
            <v:fill on="f" focussize="0,0"/>
            <v:stroke on="f" joinstyle="miter"/>
            <v:imagedata r:id="rId53" o:title=""/>
            <o:lock v:ext="edit" aspectratio="t"/>
            <w10:wrap type="none"/>
            <w10:anchorlock/>
          </v:shape>
          <o:OLEObject Type="Embed" ProgID="Equation.DSMT4" ShapeID="_x0000_i1044" DrawAspect="Content" ObjectID="_1468075744" r:id="rId52">
            <o:LockedField>false</o:LockedField>
          </o:OLEObject>
        </w:object>
      </w:r>
      <w:r>
        <w:rPr>
          <w:rFonts w:ascii="Times New Roman"/>
          <w:position w:val="-12"/>
        </w:rPr>
        <w:t xml:space="preserve">  </w:t>
      </w:r>
      <w:r>
        <w:rPr>
          <w:rFonts w:ascii="Times New Roman"/>
        </w:rPr>
        <w:t>——为会展活动服务的固定和移动燃烧源消耗的第i种燃料的消耗量，固体和液体燃料单位为吨（t）,气体燃料单位为万标立方米（10</w:t>
      </w:r>
      <w:r>
        <w:rPr>
          <w:rFonts w:ascii="Times New Roman"/>
          <w:vertAlign w:val="superscript"/>
        </w:rPr>
        <w:t>4</w:t>
      </w:r>
      <w:r>
        <w:rPr>
          <w:rFonts w:ascii="Times New Roman"/>
        </w:rPr>
        <w:t>Nm</w:t>
      </w:r>
      <w:r>
        <w:rPr>
          <w:rFonts w:ascii="Times New Roman"/>
          <w:vertAlign w:val="superscript"/>
        </w:rPr>
        <w:t>3</w:t>
      </w:r>
      <w:r>
        <w:rPr>
          <w:rFonts w:ascii="Times New Roman"/>
        </w:rPr>
        <w:t>）。</w:t>
      </w:r>
    </w:p>
    <w:p>
      <w:pPr>
        <w:pStyle w:val="165"/>
        <w:textAlignment w:val="center"/>
        <w:rPr>
          <w:rFonts w:ascii="Times New Roman"/>
        </w:rPr>
      </w:pPr>
      <w:r>
        <w:rPr>
          <w:rFonts w:ascii="Times New Roman"/>
        </w:rPr>
        <w:t>第i种化石燃料排放因子</w:t>
      </w:r>
      <w:r>
        <w:rPr>
          <w:rFonts w:ascii="Times New Roman"/>
        </w:rPr>
        <w:object>
          <v:shape id="_x0000_i1045" o:spt="75" type="#_x0000_t75" style="height:18.9pt;width:21.25pt;" o:ole="t" filled="f" o:preferrelative="t" stroked="f" coordsize="21600,21600">
            <v:path/>
            <v:fill on="f" focussize="0,0"/>
            <v:stroke on="f" joinstyle="miter"/>
            <v:imagedata r:id="rId55" o:title=""/>
            <o:lock v:ext="edit" aspectratio="t"/>
            <w10:wrap type="none"/>
            <w10:anchorlock/>
          </v:shape>
          <o:OLEObject Type="Embed" ProgID="Equation.DSMT4" ShapeID="_x0000_i1045" DrawAspect="Content" ObjectID="_1468075745" r:id="rId54">
            <o:LockedField>false</o:LockedField>
          </o:OLEObject>
        </w:object>
      </w:r>
      <w:r>
        <w:rPr>
          <w:rFonts w:ascii="Times New Roman"/>
        </w:rPr>
        <w:t>计算公式为式（4）。</w:t>
      </w:r>
    </w:p>
    <w:p>
      <w:pPr>
        <w:pStyle w:val="114"/>
        <w:rPr>
          <w:rFonts w:ascii="Times New Roman" w:hAnsi="Times New Roman"/>
        </w:rPr>
      </w:pPr>
      <w:r>
        <w:rPr>
          <w:rFonts w:ascii="Times New Roman" w:hAnsi="Times New Roman"/>
        </w:rPr>
        <w:tab/>
      </w:r>
      <w:r>
        <w:rPr>
          <w:rFonts w:ascii="Times New Roman" w:hAnsi="Times New Roman"/>
          <w:position w:val="-10"/>
        </w:rPr>
        <w:object>
          <v:shape id="_x0000_i1046" o:spt="75" type="#_x0000_t75" style="height:15.95pt;width:106.25pt;" o:ole="t" filled="f" o:preferrelative="t" stroked="f" coordsize="21600,21600">
            <v:path/>
            <v:fill on="f" focussize="0,0"/>
            <v:stroke on="f" joinstyle="miter"/>
            <v:imagedata r:id="rId57" o:title=""/>
            <o:lock v:ext="edit" aspectratio="t"/>
            <w10:wrap type="none"/>
            <w10:anchorlock/>
          </v:shape>
          <o:OLEObject Type="Embed" ProgID="Equation.DSMT4" ShapeID="_x0000_i1046" DrawAspect="Content" ObjectID="_1468075746" r:id="rId56">
            <o:LockedField>false</o:LockedField>
          </o:OLEObject>
        </w:object>
      </w:r>
      <w:r>
        <w:rPr>
          <w:rFonts w:ascii="Times New Roman" w:hAnsi="Times New Roman" w:eastAsia="微软雅黑"/>
        </w:rPr>
        <w:tab/>
      </w:r>
      <w:r>
        <w:rPr>
          <w:rFonts w:ascii="Times New Roman" w:hAnsi="Times New Roman"/>
        </w:rPr>
        <w:t>(</w:t>
      </w:r>
      <w:r>
        <w:rPr>
          <w:rFonts w:ascii="Times New Roman" w:hAnsi="Times New Roman"/>
        </w:rPr>
        <w:fldChar w:fldCharType="begin"/>
      </w:r>
      <w:r>
        <w:rPr>
          <w:rFonts w:ascii="Times New Roman" w:hAnsi="Times New Roman"/>
        </w:rPr>
        <w:instrText xml:space="preserve"> AUTONUM </w:instrText>
      </w:r>
      <w:r>
        <w:rPr>
          <w:rFonts w:ascii="Times New Roman" w:hAnsi="Times New Roman"/>
        </w:rPr>
        <w:fldChar w:fldCharType="end"/>
      </w:r>
      <w:r>
        <w:rPr>
          <w:rFonts w:ascii="Times New Roman" w:hAnsi="Times New Roman"/>
        </w:rPr>
        <w:t>)</w:t>
      </w:r>
    </w:p>
    <w:p>
      <w:pPr>
        <w:pStyle w:val="56"/>
        <w:ind w:firstLine="420"/>
        <w:rPr>
          <w:rFonts w:ascii="Times New Roman" w:hAnsi="Times New Roman"/>
        </w:rPr>
      </w:pPr>
      <w:r>
        <w:rPr>
          <w:rFonts w:ascii="Times New Roman" w:hAnsi="Times New Roman"/>
        </w:rPr>
        <w:t>式中：</w:t>
      </w:r>
    </w:p>
    <w:p>
      <w:pPr>
        <w:pStyle w:val="57"/>
        <w:spacing w:line="480" w:lineRule="exact"/>
        <w:ind w:firstLine="420"/>
        <w:rPr>
          <w:rFonts w:ascii="Times New Roman"/>
        </w:rPr>
      </w:pPr>
      <w:r>
        <w:rPr>
          <w:rFonts w:ascii="Times New Roman"/>
          <w:position w:val="-10"/>
        </w:rPr>
        <w:object>
          <v:shape id="_x0000_i1047" o:spt="75" type="#_x0000_t75" style="height:15.95pt;width:16.5pt;" o:ole="t" filled="f" o:preferrelative="t" stroked="f" coordsize="21600,21600">
            <v:path/>
            <v:fill on="f" focussize="0,0"/>
            <v:stroke on="f" joinstyle="miter"/>
            <v:imagedata r:id="rId59" o:title=""/>
            <o:lock v:ext="edit" aspectratio="t"/>
            <w10:wrap type="none"/>
            <w10:anchorlock/>
          </v:shape>
          <o:OLEObject Type="Embed" ProgID="Equation.DSMT4" ShapeID="_x0000_i1047" DrawAspect="Content" ObjectID="_1468075747" r:id="rId58">
            <o:LockedField>false</o:LockedField>
          </o:OLEObject>
        </w:object>
      </w:r>
      <w:r>
        <w:rPr>
          <w:rFonts w:ascii="Times New Roman"/>
          <w:position w:val="-10"/>
        </w:rPr>
        <w:t xml:space="preserve"> </w:t>
      </w:r>
      <w:r>
        <w:rPr>
          <w:rFonts w:ascii="Times New Roman"/>
        </w:rPr>
        <w:t>——第i种燃料的二氧化碳排放因子，单位为吨二氧化碳/吉焦（tCO</w:t>
      </w:r>
      <w:r>
        <w:rPr>
          <w:rFonts w:ascii="Times New Roman"/>
          <w:vertAlign w:val="subscript"/>
        </w:rPr>
        <w:t>2</w:t>
      </w:r>
      <w:r>
        <w:rPr>
          <w:rFonts w:ascii="Times New Roman"/>
        </w:rPr>
        <w:t>/GJ）；</w:t>
      </w:r>
    </w:p>
    <w:p>
      <w:pPr>
        <w:pStyle w:val="57"/>
        <w:spacing w:line="480" w:lineRule="exact"/>
        <w:ind w:firstLine="420"/>
        <w:rPr>
          <w:rFonts w:ascii="Times New Roman"/>
        </w:rPr>
      </w:pPr>
      <w:r>
        <w:rPr>
          <w:rFonts w:ascii="Times New Roman"/>
          <w:position w:val="-10"/>
        </w:rPr>
        <w:object>
          <v:shape id="_x0000_i1048" o:spt="75" type="#_x0000_t75" style="height:15.95pt;width:19.5pt;" o:ole="t" filled="f" o:preferrelative="t" stroked="f" coordsize="21600,21600">
            <v:path/>
            <v:fill on="f" focussize="0,0"/>
            <v:stroke on="f" joinstyle="miter"/>
            <v:imagedata r:id="rId61" o:title=""/>
            <o:lock v:ext="edit" aspectratio="t"/>
            <w10:wrap type="none"/>
            <w10:anchorlock/>
          </v:shape>
          <o:OLEObject Type="Embed" ProgID="Equation.DSMT4" ShapeID="_x0000_i1048" DrawAspect="Content" ObjectID="_1468075748" r:id="rId60">
            <o:LockedField>false</o:LockedField>
          </o:OLEObject>
        </w:object>
      </w:r>
      <w:r>
        <w:rPr>
          <w:rFonts w:ascii="Times New Roman"/>
          <w:position w:val="-10"/>
        </w:rPr>
        <w:t xml:space="preserve"> </w:t>
      </w:r>
      <w:r>
        <w:rPr>
          <w:rFonts w:ascii="Times New Roman"/>
        </w:rPr>
        <w:t>——第i种燃料的单位热值含碳量，单位为吨碳/吉焦（tC/GJ）；</w:t>
      </w:r>
    </w:p>
    <w:p>
      <w:pPr>
        <w:pStyle w:val="57"/>
        <w:spacing w:line="480" w:lineRule="exact"/>
        <w:ind w:firstLine="420"/>
        <w:rPr>
          <w:rFonts w:ascii="Times New Roman"/>
        </w:rPr>
      </w:pPr>
      <w:r>
        <w:rPr>
          <w:rFonts w:ascii="Times New Roman"/>
          <w:position w:val="-10"/>
        </w:rPr>
        <w:object>
          <v:shape id="_x0000_i1049" o:spt="75" type="#_x0000_t75" style="height:15.95pt;width:19.5pt;" o:ole="t" filled="f" o:preferrelative="t" stroked="f" coordsize="21600,21600">
            <v:path/>
            <v:fill on="f" focussize="0,0"/>
            <v:stroke on="f" joinstyle="miter"/>
            <v:imagedata r:id="rId63" o:title=""/>
            <o:lock v:ext="edit" aspectratio="t"/>
            <w10:wrap type="none"/>
            <w10:anchorlock/>
          </v:shape>
          <o:OLEObject Type="Embed" ProgID="Equation.DSMT4" ShapeID="_x0000_i1049" DrawAspect="Content" ObjectID="_1468075749" r:id="rId62">
            <o:LockedField>false</o:LockedField>
          </o:OLEObject>
        </w:object>
      </w:r>
      <w:r>
        <w:rPr>
          <w:rFonts w:ascii="Times New Roman"/>
          <w:position w:val="-10"/>
        </w:rPr>
        <w:t xml:space="preserve"> </w:t>
      </w:r>
      <w:r>
        <w:rPr>
          <w:rFonts w:ascii="Times New Roman"/>
        </w:rPr>
        <w:t>——第i种燃料的碳氧化率，单位为%；</w:t>
      </w:r>
    </w:p>
    <w:p>
      <w:pPr>
        <w:pStyle w:val="57"/>
        <w:spacing w:line="480" w:lineRule="exact"/>
        <w:ind w:firstLine="420"/>
        <w:rPr>
          <w:rFonts w:ascii="Times New Roman"/>
        </w:rPr>
      </w:pPr>
      <w:r>
        <w:rPr>
          <w:rFonts w:ascii="Times New Roman"/>
        </w:rPr>
        <w:t>44/12——碳转换成二氧化碳的转换比例。</w:t>
      </w:r>
    </w:p>
    <w:p>
      <w:pPr>
        <w:pStyle w:val="66"/>
        <w:spacing w:before="156" w:after="156"/>
        <w:rPr>
          <w:rFonts w:ascii="Times New Roman"/>
        </w:rPr>
      </w:pPr>
      <w:r>
        <w:rPr>
          <w:rFonts w:ascii="Times New Roman"/>
        </w:rPr>
        <w:t>净购入电力、热力排放产生的排放量</w:t>
      </w:r>
    </w:p>
    <w:p>
      <w:pPr>
        <w:pStyle w:val="57"/>
        <w:ind w:firstLine="420"/>
        <w:rPr>
          <w:rFonts w:ascii="Times New Roman"/>
        </w:rPr>
      </w:pPr>
      <w:r>
        <w:rPr>
          <w:rFonts w:ascii="Times New Roman"/>
        </w:rPr>
        <w:t>会展活动场地在会展活动筹备、实施和收尾期间净购入电力、热力产生的排放量的计算公式为式（5）和式（6）：</w:t>
      </w:r>
    </w:p>
    <w:p>
      <w:pPr>
        <w:pStyle w:val="114"/>
        <w:rPr>
          <w:rFonts w:ascii="Times New Roman" w:hAnsi="Times New Roman"/>
        </w:rPr>
      </w:pPr>
      <w:r>
        <w:rPr>
          <w:rFonts w:ascii="Times New Roman" w:hAnsi="Times New Roman"/>
        </w:rPr>
        <w:tab/>
      </w:r>
      <w:r>
        <w:rPr>
          <w:rFonts w:ascii="Times New Roman" w:hAnsi="Times New Roman"/>
          <w:position w:val="-12"/>
        </w:rPr>
        <w:object>
          <v:shape id="_x0000_i1050" o:spt="75" type="#_x0000_t75" style="height:16.5pt;width:127.5pt;" o:ole="t" filled="f" o:preferrelative="t" stroked="f" coordsize="21600,21600">
            <v:path/>
            <v:fill on="f" focussize="0,0"/>
            <v:stroke on="f" joinstyle="miter"/>
            <v:imagedata r:id="rId65" o:title=""/>
            <o:lock v:ext="edit" aspectratio="t"/>
            <w10:wrap type="none"/>
            <w10:anchorlock/>
          </v:shape>
          <o:OLEObject Type="Embed" ProgID="Equation.DSMT4" ShapeID="_x0000_i1050" DrawAspect="Content" ObjectID="_1468075750" r:id="rId64">
            <o:LockedField>false</o:LockedField>
          </o:OLEObject>
        </w:object>
      </w:r>
      <w:r>
        <w:rPr>
          <w:rFonts w:ascii="Times New Roman" w:hAnsi="Times New Roman" w:eastAsia="微软雅黑"/>
        </w:rPr>
        <w:tab/>
      </w:r>
      <w:r>
        <w:rPr>
          <w:rFonts w:ascii="Times New Roman" w:hAnsi="Times New Roman"/>
        </w:rPr>
        <w:t>(</w:t>
      </w:r>
      <w:r>
        <w:rPr>
          <w:rFonts w:ascii="Times New Roman" w:hAnsi="Times New Roman"/>
        </w:rPr>
        <w:fldChar w:fldCharType="begin"/>
      </w:r>
      <w:r>
        <w:rPr>
          <w:rFonts w:ascii="Times New Roman" w:hAnsi="Times New Roman"/>
        </w:rPr>
        <w:instrText xml:space="preserve"> AUTONUM </w:instrText>
      </w:r>
      <w:r>
        <w:rPr>
          <w:rFonts w:ascii="Times New Roman" w:hAnsi="Times New Roman"/>
        </w:rPr>
        <w:fldChar w:fldCharType="end"/>
      </w:r>
      <w:r>
        <w:rPr>
          <w:rFonts w:ascii="Times New Roman" w:hAnsi="Times New Roman"/>
        </w:rPr>
        <w:t>)</w:t>
      </w:r>
    </w:p>
    <w:p>
      <w:pPr>
        <w:pStyle w:val="114"/>
        <w:rPr>
          <w:rFonts w:ascii="Times New Roman" w:hAnsi="Times New Roman"/>
        </w:rPr>
      </w:pPr>
      <w:r>
        <w:rPr>
          <w:rFonts w:ascii="Times New Roman" w:hAnsi="Times New Roman"/>
        </w:rPr>
        <w:tab/>
      </w:r>
      <w:r>
        <w:rPr>
          <w:rFonts w:ascii="Times New Roman" w:hAnsi="Times New Roman"/>
          <w:position w:val="-12"/>
        </w:rPr>
        <w:object>
          <v:shape id="_x0000_i1051" o:spt="75" type="#_x0000_t75" style="height:16.5pt;width:128.05pt;" o:ole="t" filled="f" o:preferrelative="t" stroked="f" coordsize="21600,21600">
            <v:path/>
            <v:fill on="f" focussize="0,0"/>
            <v:stroke on="f" joinstyle="miter"/>
            <v:imagedata r:id="rId67" o:title=""/>
            <o:lock v:ext="edit" aspectratio="t"/>
            <w10:wrap type="none"/>
            <w10:anchorlock/>
          </v:shape>
          <o:OLEObject Type="Embed" ProgID="Equation.DSMT4" ShapeID="_x0000_i1051" DrawAspect="Content" ObjectID="_1468075751" r:id="rId66">
            <o:LockedField>false</o:LockedField>
          </o:OLEObject>
        </w:object>
      </w:r>
      <w:r>
        <w:rPr>
          <w:rFonts w:ascii="Times New Roman" w:hAnsi="Times New Roman" w:eastAsia="微软雅黑"/>
        </w:rPr>
        <w:tab/>
      </w:r>
      <w:r>
        <w:rPr>
          <w:rFonts w:ascii="Times New Roman" w:hAnsi="Times New Roman"/>
        </w:rPr>
        <w:t>(</w:t>
      </w:r>
      <w:r>
        <w:rPr>
          <w:rFonts w:ascii="Times New Roman" w:hAnsi="Times New Roman"/>
        </w:rPr>
        <w:fldChar w:fldCharType="begin"/>
      </w:r>
      <w:r>
        <w:rPr>
          <w:rFonts w:ascii="Times New Roman" w:hAnsi="Times New Roman"/>
        </w:rPr>
        <w:instrText xml:space="preserve"> AUTONUM </w:instrText>
      </w:r>
      <w:r>
        <w:rPr>
          <w:rFonts w:ascii="Times New Roman" w:hAnsi="Times New Roman"/>
        </w:rPr>
        <w:fldChar w:fldCharType="end"/>
      </w:r>
      <w:r>
        <w:rPr>
          <w:rFonts w:ascii="Times New Roman" w:hAnsi="Times New Roman"/>
        </w:rPr>
        <w:t>)</w:t>
      </w:r>
    </w:p>
    <w:p>
      <w:pPr>
        <w:pStyle w:val="56"/>
        <w:ind w:firstLine="420"/>
        <w:rPr>
          <w:rFonts w:ascii="Times New Roman" w:hAnsi="Times New Roman"/>
        </w:rPr>
      </w:pPr>
      <w:r>
        <w:rPr>
          <w:rFonts w:ascii="Times New Roman" w:hAnsi="Times New Roman"/>
        </w:rPr>
        <w:t>式中：</w:t>
      </w:r>
    </w:p>
    <w:p>
      <w:pPr>
        <w:pStyle w:val="57"/>
        <w:spacing w:line="480" w:lineRule="exact"/>
        <w:ind w:firstLine="420"/>
        <w:rPr>
          <w:rFonts w:ascii="Times New Roman"/>
        </w:rPr>
      </w:pPr>
      <w:r>
        <w:rPr>
          <w:rFonts w:ascii="Times New Roman"/>
          <w:position w:val="-12"/>
        </w:rPr>
        <w:object>
          <v:shape id="_x0000_i1052" o:spt="75" type="#_x0000_t75" style="height:15.95pt;width:21.85pt;" o:ole="t" filled="f" o:preferrelative="t" stroked="f" coordsize="21600,21600">
            <v:path/>
            <v:fill on="f" focussize="0,0"/>
            <v:stroke on="f" joinstyle="miter"/>
            <v:imagedata r:id="rId69" o:title=""/>
            <o:lock v:ext="edit" aspectratio="t"/>
            <w10:wrap type="none"/>
            <w10:anchorlock/>
          </v:shape>
          <o:OLEObject Type="Embed" ProgID="Equation.DSMT4" ShapeID="_x0000_i1052" DrawAspect="Content" ObjectID="_1468075752" r:id="rId68">
            <o:LockedField>false</o:LockedField>
          </o:OLEObject>
        </w:object>
      </w:r>
      <w:r>
        <w:rPr>
          <w:rFonts w:ascii="Times New Roman"/>
          <w:position w:val="-14"/>
        </w:rPr>
        <w:t xml:space="preserve">  </w:t>
      </w:r>
      <w:r>
        <w:rPr>
          <w:rFonts w:ascii="Times New Roman"/>
          <w:spacing w:val="-20"/>
          <w:kern w:val="21"/>
          <w:position w:val="-14"/>
        </w:rPr>
        <w:t xml:space="preserve"> </w:t>
      </w:r>
      <w:r>
        <w:rPr>
          <w:rFonts w:ascii="Times New Roman"/>
        </w:rPr>
        <w:t>——净购入电力产生的间接排放量，单位为吨二氧化碳当量（tCO</w:t>
      </w:r>
      <w:r>
        <w:rPr>
          <w:rFonts w:ascii="Times New Roman"/>
          <w:vertAlign w:val="subscript"/>
        </w:rPr>
        <w:t>2</w:t>
      </w:r>
      <w:r>
        <w:rPr>
          <w:rFonts w:ascii="Times New Roman"/>
        </w:rPr>
        <w:t>e）；</w:t>
      </w:r>
    </w:p>
    <w:p>
      <w:pPr>
        <w:pStyle w:val="57"/>
        <w:spacing w:line="480" w:lineRule="exact"/>
        <w:ind w:firstLine="420"/>
        <w:rPr>
          <w:rFonts w:ascii="Times New Roman"/>
        </w:rPr>
      </w:pPr>
      <w:r>
        <w:rPr>
          <w:rFonts w:ascii="Times New Roman"/>
          <w:position w:val="-12"/>
        </w:rPr>
        <w:object>
          <v:shape id="_x0000_i1053" o:spt="75" type="#_x0000_t75" style="height:15.95pt;width:36.6pt;" o:ole="t" filled="f" o:preferrelative="t" stroked="f" coordsize="21600,21600">
            <v:path/>
            <v:fill on="f" focussize="0,0"/>
            <v:stroke on="f" joinstyle="miter"/>
            <v:imagedata r:id="rId71" o:title=""/>
            <o:lock v:ext="edit" aspectratio="t"/>
            <w10:wrap type="none"/>
            <w10:anchorlock/>
          </v:shape>
          <o:OLEObject Type="Embed" ProgID="Equation.DSMT4" ShapeID="_x0000_i1053" DrawAspect="Content" ObjectID="_1468075753" r:id="rId70">
            <o:LockedField>false</o:LockedField>
          </o:OLEObject>
        </w:object>
      </w:r>
      <w:r>
        <w:rPr>
          <w:rFonts w:ascii="Times New Roman"/>
        </w:rPr>
        <w:t>——会展场地所消耗的电力，包含会展活动所使用的电动汽车消耗的电力，单位为兆瓦时（MWh）；</w:t>
      </w:r>
    </w:p>
    <w:p>
      <w:pPr>
        <w:pStyle w:val="57"/>
        <w:spacing w:line="480" w:lineRule="exact"/>
        <w:ind w:firstLine="420"/>
        <w:rPr>
          <w:rFonts w:ascii="Times New Roman"/>
        </w:rPr>
      </w:pPr>
      <w:r>
        <w:rPr>
          <w:rFonts w:ascii="Times New Roman"/>
          <w:position w:val="-12"/>
        </w:rPr>
        <w:object>
          <v:shape id="_x0000_i1054" o:spt="75" type="#_x0000_t75" style="height:15.95pt;width:25.4pt;" o:ole="t" filled="f" o:preferrelative="t" stroked="f" coordsize="21600,21600">
            <v:path/>
            <v:fill on="f" focussize="0,0"/>
            <v:stroke on="f" joinstyle="miter"/>
            <v:imagedata r:id="rId73" o:title=""/>
            <o:lock v:ext="edit" aspectratio="t"/>
            <w10:wrap type="none"/>
            <w10:anchorlock/>
          </v:shape>
          <o:OLEObject Type="Embed" ProgID="Equation.DSMT4" ShapeID="_x0000_i1054" DrawAspect="Content" ObjectID="_1468075754" r:id="rId72">
            <o:LockedField>false</o:LockedField>
          </o:OLEObject>
        </w:object>
      </w:r>
      <w:r>
        <w:rPr>
          <w:rFonts w:ascii="Times New Roman"/>
          <w:position w:val="-14"/>
        </w:rPr>
        <w:t xml:space="preserve">  </w:t>
      </w:r>
      <w:r>
        <w:rPr>
          <w:rFonts w:ascii="Times New Roman"/>
        </w:rPr>
        <w:t>——电力消费的排放因子，单位为吨二氧化碳/兆瓦时（</w:t>
      </w:r>
      <w:r>
        <w:rPr>
          <w:rFonts w:ascii="Times New Roman" w:eastAsia="黑体"/>
        </w:rPr>
        <w:t>tCO</w:t>
      </w:r>
      <w:r>
        <w:rPr>
          <w:rFonts w:ascii="Times New Roman" w:eastAsia="黑体"/>
          <w:vertAlign w:val="subscript"/>
        </w:rPr>
        <w:t>2</w:t>
      </w:r>
      <w:r>
        <w:rPr>
          <w:rFonts w:ascii="Times New Roman" w:eastAsia="黑体"/>
        </w:rPr>
        <w:t>/MWh</w:t>
      </w:r>
      <w:r>
        <w:rPr>
          <w:rFonts w:ascii="Times New Roman"/>
        </w:rPr>
        <w:t>）</w:t>
      </w:r>
    </w:p>
    <w:p>
      <w:pPr>
        <w:pStyle w:val="57"/>
        <w:spacing w:line="480" w:lineRule="exact"/>
        <w:ind w:firstLine="420"/>
        <w:rPr>
          <w:rFonts w:ascii="Times New Roman"/>
        </w:rPr>
      </w:pPr>
      <w:r>
        <w:rPr>
          <w:rFonts w:ascii="Times New Roman"/>
          <w:position w:val="-12"/>
        </w:rPr>
        <w:object>
          <v:shape id="_x0000_i1055" o:spt="75" type="#_x0000_t75" style="height:15.95pt;width:22.45pt;" o:ole="t" filled="f" o:preferrelative="t" stroked="f" coordsize="21600,21600">
            <v:path/>
            <v:fill on="f" focussize="0,0"/>
            <v:stroke on="f" joinstyle="miter"/>
            <v:imagedata r:id="rId75" o:title=""/>
            <o:lock v:ext="edit" aspectratio="t"/>
            <w10:wrap type="none"/>
            <w10:anchorlock/>
          </v:shape>
          <o:OLEObject Type="Embed" ProgID="Equation.DSMT4" ShapeID="_x0000_i1055" DrawAspect="Content" ObjectID="_1468075755" r:id="rId74">
            <o:LockedField>false</o:LockedField>
          </o:OLEObject>
        </w:object>
      </w:r>
      <w:r>
        <w:rPr>
          <w:rFonts w:ascii="Times New Roman"/>
          <w:position w:val="-14"/>
        </w:rPr>
        <w:t xml:space="preserve">  </w:t>
      </w:r>
      <w:r>
        <w:rPr>
          <w:rFonts w:ascii="Times New Roman"/>
          <w:spacing w:val="-20"/>
          <w:position w:val="-14"/>
        </w:rPr>
        <w:t xml:space="preserve"> </w:t>
      </w:r>
      <w:r>
        <w:rPr>
          <w:rFonts w:ascii="Times New Roman"/>
        </w:rPr>
        <w:t>——净购入热力产生的间接排放量，单位为吨二氧化碳当量（tCO</w:t>
      </w:r>
      <w:r>
        <w:rPr>
          <w:rFonts w:ascii="Times New Roman"/>
          <w:vertAlign w:val="subscript"/>
        </w:rPr>
        <w:t>2</w:t>
      </w:r>
      <w:r>
        <w:rPr>
          <w:rFonts w:ascii="Times New Roman"/>
        </w:rPr>
        <w:t>e）。</w:t>
      </w:r>
    </w:p>
    <w:p>
      <w:pPr>
        <w:pStyle w:val="57"/>
        <w:spacing w:line="480" w:lineRule="exact"/>
        <w:ind w:firstLine="420"/>
        <w:rPr>
          <w:rFonts w:ascii="Times New Roman"/>
        </w:rPr>
      </w:pPr>
      <w:r>
        <w:rPr>
          <w:rFonts w:ascii="Times New Roman"/>
          <w:position w:val="-12"/>
        </w:rPr>
        <w:object>
          <v:shape id="_x0000_i1056" o:spt="75" type="#_x0000_t75" style="height:15.95pt;width:36.6pt;" o:ole="t" filled="f" o:preferrelative="t" stroked="f" coordsize="21600,21600">
            <v:path/>
            <v:fill on="f" focussize="0,0"/>
            <v:stroke on="f" joinstyle="miter"/>
            <v:imagedata r:id="rId77" o:title=""/>
            <o:lock v:ext="edit" aspectratio="t"/>
            <w10:wrap type="none"/>
            <w10:anchorlock/>
          </v:shape>
          <o:OLEObject Type="Embed" ProgID="Equation.DSMT4" ShapeID="_x0000_i1056" DrawAspect="Content" ObjectID="_1468075756" r:id="rId76">
            <o:LockedField>false</o:LockedField>
          </o:OLEObject>
        </w:object>
      </w:r>
      <w:r>
        <w:rPr>
          <w:rFonts w:ascii="Times New Roman"/>
        </w:rPr>
        <w:t>——会展场地消耗的热力，单位为吉焦（GJ）；</w:t>
      </w:r>
    </w:p>
    <w:p>
      <w:pPr>
        <w:pStyle w:val="57"/>
        <w:spacing w:line="480" w:lineRule="exact"/>
        <w:ind w:firstLine="420"/>
        <w:rPr>
          <w:rFonts w:ascii="Times New Roman"/>
        </w:rPr>
      </w:pPr>
      <w:r>
        <w:rPr>
          <w:rFonts w:ascii="Times New Roman"/>
          <w:position w:val="-12"/>
        </w:rPr>
        <w:object>
          <v:shape id="_x0000_i1057" o:spt="75" type="#_x0000_t75" style="height:15.95pt;width:27.15pt;" o:ole="t" filled="f" o:preferrelative="t" stroked="f" coordsize="21600,21600">
            <v:path/>
            <v:fill on="f" focussize="0,0"/>
            <v:stroke on="f" joinstyle="miter"/>
            <v:imagedata r:id="rId79" o:title=""/>
            <o:lock v:ext="edit" aspectratio="t"/>
            <w10:wrap type="none"/>
            <w10:anchorlock/>
          </v:shape>
          <o:OLEObject Type="Embed" ProgID="Equation.DSMT4" ShapeID="_x0000_i1057" DrawAspect="Content" ObjectID="_1468075757" r:id="rId78">
            <o:LockedField>false</o:LockedField>
          </o:OLEObject>
        </w:object>
      </w:r>
      <w:r>
        <w:rPr>
          <w:rFonts w:ascii="Times New Roman"/>
          <w:position w:val="-14"/>
        </w:rPr>
        <w:t xml:space="preserve"> </w:t>
      </w:r>
      <w:r>
        <w:rPr>
          <w:rFonts w:ascii="Times New Roman"/>
          <w:spacing w:val="-20"/>
          <w:position w:val="-14"/>
        </w:rPr>
        <w:t xml:space="preserve"> </w:t>
      </w:r>
      <w:r>
        <w:rPr>
          <w:rFonts w:ascii="Times New Roman"/>
        </w:rPr>
        <w:t>——热力消费的排放因子，单位为吨二氧化碳/吉焦（tCO</w:t>
      </w:r>
      <w:r>
        <w:rPr>
          <w:rFonts w:ascii="Times New Roman"/>
          <w:vertAlign w:val="subscript"/>
        </w:rPr>
        <w:t>2</w:t>
      </w:r>
      <w:r>
        <w:rPr>
          <w:rFonts w:ascii="Times New Roman"/>
        </w:rPr>
        <w:t>/GJ）；</w:t>
      </w:r>
    </w:p>
    <w:p>
      <w:pPr>
        <w:pStyle w:val="57"/>
        <w:spacing w:line="480" w:lineRule="exact"/>
        <w:ind w:firstLine="420"/>
        <w:rPr>
          <w:rFonts w:ascii="Times New Roman"/>
        </w:rPr>
      </w:pPr>
      <w:r>
        <w:rPr>
          <w:rFonts w:ascii="Times New Roman"/>
          <w:position w:val="-6"/>
        </w:rPr>
        <w:object>
          <v:shape id="_x0000_i1058" o:spt="75" type="#_x0000_t75" style="height:13pt;width:25.95pt;" o:ole="t" filled="f" o:preferrelative="t" stroked="f" coordsize="21600,21600">
            <v:path/>
            <v:fill on="f" focussize="0,0"/>
            <v:stroke on="f" joinstyle="miter"/>
            <v:imagedata r:id="rId81" o:title=""/>
            <o:lock v:ext="edit" aspectratio="t"/>
            <w10:wrap type="none"/>
            <w10:anchorlock/>
          </v:shape>
          <o:OLEObject Type="Embed" ProgID="Equation.DSMT4" ShapeID="_x0000_i1058" DrawAspect="Content" ObjectID="_1468075758" r:id="rId80">
            <o:LockedField>false</o:LockedField>
          </o:OLEObject>
        </w:object>
      </w:r>
      <w:r>
        <w:rPr>
          <w:rFonts w:ascii="Times New Roman"/>
        </w:rPr>
        <w:t xml:space="preserve">  ——全球变暖潜势，数值可参考政府间气候变化专门委员会（IPCC）提供的数据。</w:t>
      </w:r>
    </w:p>
    <w:p>
      <w:pPr>
        <w:pStyle w:val="66"/>
        <w:spacing w:before="156" w:after="156"/>
        <w:rPr>
          <w:rFonts w:ascii="Times New Roman"/>
        </w:rPr>
      </w:pPr>
      <w:r>
        <w:rPr>
          <w:rFonts w:ascii="Times New Roman"/>
        </w:rPr>
        <w:t>会展人员往返交通排放量</w:t>
      </w:r>
    </w:p>
    <w:p>
      <w:pPr>
        <w:spacing w:line="360" w:lineRule="auto"/>
        <w:ind w:firstLine="420" w:firstLineChars="200"/>
        <w:rPr>
          <w:rFonts w:ascii="Times New Roman" w:hAnsi="Times New Roman"/>
        </w:rPr>
      </w:pPr>
      <w:r>
        <w:rPr>
          <w:rFonts w:ascii="Times New Roman" w:hAnsi="Times New Roman"/>
        </w:rPr>
        <w:t>会展人员往返交通产生的排放量计算公式为式（7）：</w:t>
      </w:r>
    </w:p>
    <w:p>
      <w:pPr>
        <w:pStyle w:val="114"/>
        <w:rPr>
          <w:rFonts w:ascii="Times New Roman" w:hAnsi="Times New Roman"/>
        </w:rPr>
      </w:pPr>
      <w:r>
        <w:rPr>
          <w:rFonts w:ascii="Times New Roman" w:hAnsi="Times New Roman"/>
        </w:rPr>
        <w:tab/>
      </w:r>
      <w:r>
        <w:rPr>
          <w:rFonts w:ascii="Times New Roman" w:hAnsi="Times New Roman"/>
        </w:rPr>
        <w:t xml:space="preserve">  </w:t>
      </w:r>
      <w:r>
        <w:rPr>
          <w:rFonts w:ascii="Times New Roman" w:hAnsi="Times New Roman"/>
          <w:position w:val="-26"/>
        </w:rPr>
        <w:object>
          <v:shape id="_x0000_i1059" o:spt="75" type="#_x0000_t75" style="height:31.3pt;width:113.9pt;" o:ole="t" filled="f" o:preferrelative="t" stroked="f" coordsize="21600,21600">
            <v:path/>
            <v:fill on="f" focussize="0,0"/>
            <v:stroke on="f" joinstyle="miter"/>
            <v:imagedata r:id="rId83" o:title=""/>
            <o:lock v:ext="edit" aspectratio="t"/>
            <w10:wrap type="none"/>
            <w10:anchorlock/>
          </v:shape>
          <o:OLEObject Type="Embed" ProgID="Equation.DSMT4" ShapeID="_x0000_i1059" DrawAspect="Content" ObjectID="_1468075759" r:id="rId82">
            <o:LockedField>false</o:LockedField>
          </o:OLEObject>
        </w:object>
      </w:r>
      <w:r>
        <w:rPr>
          <w:rFonts w:ascii="Times New Roman" w:hAnsi="Times New Roman" w:eastAsia="微软雅黑"/>
        </w:rPr>
        <w:tab/>
      </w:r>
      <w:r>
        <w:rPr>
          <w:rFonts w:ascii="Times New Roman" w:hAnsi="Times New Roman"/>
        </w:rPr>
        <w:t>(</w:t>
      </w:r>
      <w:r>
        <w:rPr>
          <w:rFonts w:ascii="Times New Roman" w:hAnsi="Times New Roman"/>
        </w:rPr>
        <w:fldChar w:fldCharType="begin"/>
      </w:r>
      <w:r>
        <w:rPr>
          <w:rFonts w:ascii="Times New Roman" w:hAnsi="Times New Roman"/>
        </w:rPr>
        <w:instrText xml:space="preserve"> AUTONUM </w:instrText>
      </w:r>
      <w:r>
        <w:rPr>
          <w:rFonts w:ascii="Times New Roman" w:hAnsi="Times New Roman"/>
        </w:rPr>
        <w:fldChar w:fldCharType="end"/>
      </w:r>
      <w:r>
        <w:rPr>
          <w:rFonts w:ascii="Times New Roman" w:hAnsi="Times New Roman"/>
        </w:rPr>
        <w:t>)</w:t>
      </w:r>
    </w:p>
    <w:p>
      <w:pPr>
        <w:pStyle w:val="56"/>
        <w:ind w:firstLine="420"/>
        <w:rPr>
          <w:rFonts w:ascii="Times New Roman" w:hAnsi="Times New Roman"/>
        </w:rPr>
      </w:pPr>
      <w:r>
        <w:rPr>
          <w:rFonts w:ascii="Times New Roman" w:hAnsi="Times New Roman"/>
        </w:rPr>
        <w:t>式中：</w:t>
      </w:r>
    </w:p>
    <w:p>
      <w:pPr>
        <w:pStyle w:val="57"/>
        <w:spacing w:line="440" w:lineRule="exact"/>
        <w:ind w:firstLine="420"/>
        <w:rPr>
          <w:rFonts w:ascii="Times New Roman"/>
        </w:rPr>
      </w:pPr>
      <w:r>
        <w:rPr>
          <w:rFonts w:ascii="Times New Roman"/>
          <w:position w:val="-12"/>
        </w:rPr>
        <w:object>
          <v:shape id="_x0000_i1060" o:spt="75" type="#_x0000_t75" style="height:15.95pt;width:22.45pt;" o:ole="t" filled="f" o:preferrelative="t" stroked="f" coordsize="21600,21600">
            <v:path/>
            <v:fill on="f" focussize="0,0"/>
            <v:stroke on="f" joinstyle="miter"/>
            <v:imagedata r:id="rId85" o:title=""/>
            <o:lock v:ext="edit" aspectratio="t"/>
            <w10:wrap type="none"/>
            <w10:anchorlock/>
          </v:shape>
          <o:OLEObject Type="Embed" ProgID="Equation.DSMT4" ShapeID="_x0000_i1060" DrawAspect="Content" ObjectID="_1468075760" r:id="rId84">
            <o:LockedField>false</o:LockedField>
          </o:OLEObject>
        </w:object>
      </w:r>
      <w:r>
        <w:rPr>
          <w:rFonts w:ascii="Times New Roman"/>
          <w:spacing w:val="-20"/>
          <w:position w:val="-14"/>
        </w:rPr>
        <w:t xml:space="preserve"> </w:t>
      </w:r>
      <w:r>
        <w:rPr>
          <w:rFonts w:ascii="Times New Roman"/>
        </w:rPr>
        <w:t>——会展人员往返交通产生的排放量，单位为吨二氧化碳当量（tCO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rPr>
      </w:pPr>
      <w:r>
        <w:rPr>
          <w:rFonts w:ascii="Times New Roman"/>
          <w:position w:val="-12"/>
        </w:rPr>
        <w:object>
          <v:shape id="_x0000_i1061" o:spt="75" type="#_x0000_t75" style="height:18.9pt;width:8.25pt;" o:ole="t" filled="f" o:preferrelative="t" stroked="f" coordsize="21600,21600">
            <v:path/>
            <v:fill on="f" focussize="0,0"/>
            <v:stroke on="f" joinstyle="miter"/>
            <v:imagedata r:id="rId87" o:title=""/>
            <o:lock v:ext="edit" aspectratio="t"/>
            <w10:wrap type="none"/>
            <w10:anchorlock/>
          </v:shape>
          <o:OLEObject Type="Embed" ProgID="Equation.DSMT4" ShapeID="_x0000_i1061" DrawAspect="Content" ObjectID="_1468075761" r:id="rId86">
            <o:LockedField>false</o:LockedField>
          </o:OLEObject>
        </w:object>
      </w:r>
      <w:r>
        <w:rPr>
          <w:rFonts w:ascii="Times New Roman"/>
          <w:position w:val="-12"/>
        </w:rPr>
        <w:t xml:space="preserve">   </w:t>
      </w:r>
      <w:r>
        <w:rPr>
          <w:rFonts w:ascii="Times New Roman"/>
        </w:rPr>
        <w:t>——会展人员往返目的地时乘坐第i种交通工具碳排放因子，单位为 kgCO</w:t>
      </w:r>
      <w:r>
        <w:rPr>
          <w:rFonts w:ascii="Times New Roman"/>
          <w:vertAlign w:val="subscript"/>
        </w:rPr>
        <w:t>2</w:t>
      </w:r>
      <w:r>
        <w:rPr>
          <w:rFonts w:ascii="Times New Roman"/>
        </w:rPr>
        <w:t>e/（km</w:t>
      </w:r>
      <w:r>
        <w:rPr>
          <w:rFonts w:ascii="Times New Roman"/>
          <w:color w:val="000000" w:themeColor="text1"/>
          <w:szCs w:val="21"/>
          <w14:textFill>
            <w14:solidFill>
              <w14:schemeClr w14:val="tx1"/>
            </w14:solidFill>
          </w14:textFill>
        </w:rPr>
        <w:t>•</w:t>
      </w:r>
      <w:r>
        <w:rPr>
          <w:rFonts w:ascii="Times New Roman"/>
        </w:rPr>
        <w:t>人）；</w:t>
      </w:r>
    </w:p>
    <w:p>
      <w:pPr>
        <w:pStyle w:val="57"/>
        <w:spacing w:line="440" w:lineRule="exact"/>
        <w:ind w:firstLine="420"/>
        <w:rPr>
          <w:rFonts w:ascii="Times New Roman"/>
        </w:rPr>
      </w:pPr>
      <w:r>
        <w:rPr>
          <w:rFonts w:ascii="Times New Roman"/>
          <w:position w:val="-12"/>
        </w:rPr>
        <w:object>
          <v:shape id="_x0000_i1062" o:spt="75" type="#_x0000_t75" style="height:18.9pt;width:13.55pt;" o:ole="t" filled="f" o:preferrelative="t" stroked="f" coordsize="21600,21600">
            <v:path/>
            <v:fill on="f" focussize="0,0"/>
            <v:stroke on="f" joinstyle="miter"/>
            <v:imagedata r:id="rId89" o:title=""/>
            <o:lock v:ext="edit" aspectratio="t"/>
            <w10:wrap type="none"/>
            <w10:anchorlock/>
          </v:shape>
          <o:OLEObject Type="Embed" ProgID="Equation.DSMT4" ShapeID="_x0000_i1062" DrawAspect="Content" ObjectID="_1468075762" r:id="rId88">
            <o:LockedField>false</o:LockedField>
          </o:OLEObject>
        </w:object>
      </w:r>
      <w:r>
        <w:rPr>
          <w:rFonts w:ascii="Times New Roman"/>
          <w:position w:val="-12"/>
        </w:rPr>
        <w:t xml:space="preserve">  </w:t>
      </w:r>
      <w:r>
        <w:rPr>
          <w:rFonts w:ascii="Times New Roman"/>
          <w:spacing w:val="-20"/>
          <w:position w:val="-12"/>
        </w:rPr>
        <w:t xml:space="preserve"> </w:t>
      </w:r>
      <w:r>
        <w:rPr>
          <w:rFonts w:ascii="Times New Roman"/>
        </w:rPr>
        <w:t>——会展人员往返目的地时乘坐第i种交通工具的行驶里程，单位为km；</w:t>
      </w:r>
    </w:p>
    <w:p>
      <w:pPr>
        <w:pStyle w:val="57"/>
        <w:spacing w:line="440" w:lineRule="exact"/>
        <w:ind w:firstLine="420"/>
        <w:rPr>
          <w:rFonts w:ascii="Times New Roman"/>
        </w:rPr>
      </w:pPr>
      <w:r>
        <w:rPr>
          <w:rFonts w:ascii="Times New Roman"/>
          <w:position w:val="-10"/>
        </w:rPr>
        <w:object>
          <v:shape id="_x0000_i1063" o:spt="75" type="#_x0000_t75" style="height:15.95pt;width:13.55pt;" o:ole="t" filled="f" o:preferrelative="t" stroked="f" coordsize="21600,21600">
            <v:path/>
            <v:fill on="f" focussize="0,0"/>
            <v:stroke on="f" joinstyle="miter"/>
            <v:imagedata r:id="rId91" o:title=""/>
            <o:lock v:ext="edit" aspectratio="t"/>
            <w10:wrap type="none"/>
            <w10:anchorlock/>
          </v:shape>
          <o:OLEObject Type="Embed" ProgID="Equation.DSMT4" ShapeID="_x0000_i1063" DrawAspect="Content" ObjectID="_1468075763" r:id="rId90">
            <o:LockedField>false</o:LockedField>
          </o:OLEObject>
        </w:object>
      </w:r>
      <w:r>
        <w:rPr>
          <w:rFonts w:ascii="Times New Roman"/>
          <w:position w:val="-12"/>
        </w:rPr>
        <w:t xml:space="preserve">  </w:t>
      </w:r>
      <w:r>
        <w:rPr>
          <w:rFonts w:ascii="Times New Roman"/>
          <w:spacing w:val="-20"/>
          <w:position w:val="-12"/>
        </w:rPr>
        <w:t xml:space="preserve"> </w:t>
      </w:r>
      <w:r>
        <w:rPr>
          <w:rFonts w:ascii="Times New Roman"/>
        </w:rPr>
        <w:t>——会展人员往返目的地时乘坐第i种交通工具的人数，单位为人。</w:t>
      </w:r>
    </w:p>
    <w:p>
      <w:pPr>
        <w:pStyle w:val="66"/>
        <w:spacing w:before="156" w:after="156"/>
        <w:rPr>
          <w:rFonts w:ascii="Times New Roman"/>
        </w:rPr>
      </w:pPr>
      <w:r>
        <w:rPr>
          <w:rFonts w:ascii="Times New Roman"/>
        </w:rPr>
        <w:t>会展人员住宿排放量</w:t>
      </w:r>
    </w:p>
    <w:p>
      <w:pPr>
        <w:pStyle w:val="57"/>
        <w:ind w:firstLine="420"/>
        <w:rPr>
          <w:rFonts w:ascii="Times New Roman"/>
        </w:rPr>
      </w:pPr>
      <w:r>
        <w:rPr>
          <w:rFonts w:ascii="Times New Roman"/>
        </w:rPr>
        <w:t>会展人员住宿产生的排放量，根据住宿人数和住宿天数，计算公式为式（8）：</w:t>
      </w:r>
    </w:p>
    <w:p>
      <w:pPr>
        <w:pStyle w:val="114"/>
        <w:rPr>
          <w:rFonts w:ascii="Times New Roman" w:hAnsi="Times New Roman"/>
        </w:rPr>
      </w:pPr>
      <w:r>
        <w:rPr>
          <w:rFonts w:ascii="Times New Roman" w:hAnsi="Times New Roman"/>
        </w:rPr>
        <w:tab/>
      </w:r>
      <w:r>
        <w:rPr>
          <w:rFonts w:ascii="Times New Roman" w:hAnsi="Times New Roman"/>
          <w:i/>
          <w:position w:val="-12"/>
        </w:rPr>
        <w:object>
          <v:shape id="_x0000_i1064" o:spt="75" type="#_x0000_t75" style="height:16.5pt;width:120.4pt;" o:ole="t" filled="f" o:preferrelative="t" stroked="f" coordsize="21600,21600">
            <v:path/>
            <v:fill on="f" focussize="0,0"/>
            <v:stroke on="f" joinstyle="miter"/>
            <v:imagedata r:id="rId93" o:title=""/>
            <o:lock v:ext="edit" aspectratio="t"/>
            <w10:wrap type="none"/>
            <w10:anchorlock/>
          </v:shape>
          <o:OLEObject Type="Embed" ProgID="Equation.DSMT4" ShapeID="_x0000_i1064" DrawAspect="Content" ObjectID="_1468075764" r:id="rId92">
            <o:LockedField>false</o:LockedField>
          </o:OLEObject>
        </w:object>
      </w:r>
      <w:r>
        <w:rPr>
          <w:rFonts w:ascii="Times New Roman" w:hAnsi="Times New Roman" w:eastAsia="微软雅黑"/>
        </w:rPr>
        <w:tab/>
      </w:r>
      <w:r>
        <w:rPr>
          <w:rFonts w:ascii="Times New Roman" w:hAnsi="Times New Roman"/>
        </w:rPr>
        <w:t>(</w:t>
      </w:r>
      <w:r>
        <w:rPr>
          <w:rFonts w:ascii="Times New Roman" w:hAnsi="Times New Roman"/>
        </w:rPr>
        <w:fldChar w:fldCharType="begin"/>
      </w:r>
      <w:r>
        <w:rPr>
          <w:rFonts w:ascii="Times New Roman" w:hAnsi="Times New Roman"/>
        </w:rPr>
        <w:instrText xml:space="preserve"> AUTONUM </w:instrText>
      </w:r>
      <w:r>
        <w:rPr>
          <w:rFonts w:ascii="Times New Roman" w:hAnsi="Times New Roman"/>
        </w:rPr>
        <w:fldChar w:fldCharType="end"/>
      </w:r>
      <w:r>
        <w:rPr>
          <w:rFonts w:ascii="Times New Roman" w:hAnsi="Times New Roman"/>
        </w:rPr>
        <w:t>)</w:t>
      </w:r>
    </w:p>
    <w:p>
      <w:pPr>
        <w:pStyle w:val="56"/>
        <w:ind w:firstLine="420"/>
        <w:rPr>
          <w:rFonts w:ascii="Times New Roman" w:hAnsi="Times New Roman"/>
        </w:rPr>
      </w:pPr>
      <w:r>
        <w:rPr>
          <w:rFonts w:ascii="Times New Roman" w:hAnsi="Times New Roman"/>
        </w:rPr>
        <w:t>式中：</w:t>
      </w:r>
    </w:p>
    <w:p>
      <w:pPr>
        <w:pStyle w:val="57"/>
        <w:spacing w:line="440" w:lineRule="exact"/>
        <w:ind w:firstLine="403" w:firstLineChars="192"/>
        <w:rPr>
          <w:rFonts w:ascii="Times New Roman"/>
        </w:rPr>
      </w:pPr>
      <w:r>
        <w:rPr>
          <w:rFonts w:ascii="Times New Roman"/>
          <w:position w:val="-12"/>
        </w:rPr>
        <w:object>
          <v:shape id="_x0000_i1065" o:spt="75" type="#_x0000_t75" style="height:15.95pt;width:22.45pt;" o:ole="t" filled="f" o:preferrelative="t" stroked="f" coordsize="21600,21600">
            <v:path/>
            <v:fill on="f" focussize="0,0"/>
            <v:stroke on="f" joinstyle="miter"/>
            <v:imagedata r:id="rId95" o:title=""/>
            <o:lock v:ext="edit" aspectratio="t"/>
            <w10:wrap type="none"/>
            <w10:anchorlock/>
          </v:shape>
          <o:OLEObject Type="Embed" ProgID="Equation.DSMT4" ShapeID="_x0000_i1065" DrawAspect="Content" ObjectID="_1468075765" r:id="rId94">
            <o:LockedField>false</o:LockedField>
          </o:OLEObject>
        </w:object>
      </w:r>
      <w:r>
        <w:rPr>
          <w:rFonts w:ascii="Times New Roman"/>
          <w:position w:val="-14"/>
        </w:rPr>
        <w:t xml:space="preserve"> </w:t>
      </w:r>
      <w:r>
        <w:rPr>
          <w:rFonts w:ascii="Times New Roman"/>
        </w:rPr>
        <w:t>——会展人员住宿活动产生的排放量，单位为吨二氧化碳当量（tCO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szCs w:val="21"/>
        </w:rPr>
      </w:pPr>
      <w:r>
        <w:rPr>
          <w:rFonts w:ascii="Times New Roman"/>
          <w:position w:val="-10"/>
        </w:rPr>
        <w:object>
          <v:shape id="_x0000_i1066" o:spt="75" type="#_x0000_t75" style="height:15.95pt;width:13.55pt;" o:ole="t" filled="f" o:preferrelative="t" stroked="f" coordsize="21600,21600">
            <v:path/>
            <v:fill on="f" focussize="0,0"/>
            <v:stroke on="f" joinstyle="miter"/>
            <v:imagedata r:id="rId97" o:title=""/>
            <o:lock v:ext="edit" aspectratio="t"/>
            <w10:wrap type="none"/>
            <w10:anchorlock/>
          </v:shape>
          <o:OLEObject Type="Embed" ProgID="Equation.DSMT4" ShapeID="_x0000_i1066" DrawAspect="Content" ObjectID="_1468075766" r:id="rId96">
            <o:LockedField>false</o:LockedField>
          </o:OLEObject>
        </w:object>
      </w:r>
      <w:r>
        <w:rPr>
          <w:rFonts w:ascii="Times New Roman"/>
          <w:position w:val="-12"/>
        </w:rPr>
        <w:t xml:space="preserve">  </w:t>
      </w:r>
      <w:r>
        <w:rPr>
          <w:rFonts w:ascii="Times New Roman"/>
          <w:spacing w:val="-20"/>
          <w:position w:val="-12"/>
        </w:rPr>
        <w:t xml:space="preserve"> </w:t>
      </w:r>
      <w:r>
        <w:rPr>
          <w:rFonts w:ascii="Times New Roman"/>
        </w:rPr>
        <w:t>——会展人员住宿房间数，单位为间；</w:t>
      </w:r>
    </w:p>
    <w:p>
      <w:pPr>
        <w:pStyle w:val="57"/>
        <w:spacing w:line="440" w:lineRule="exact"/>
        <w:ind w:firstLine="420"/>
        <w:rPr>
          <w:rFonts w:ascii="Times New Roman"/>
          <w:szCs w:val="21"/>
        </w:rPr>
      </w:pPr>
      <w:r>
        <w:rPr>
          <w:rFonts w:ascii="Times New Roman"/>
          <w:position w:val="-4"/>
        </w:rPr>
        <w:object>
          <v:shape id="_x0000_i1067" o:spt="75" type="#_x0000_t75" style="height:11.8pt;width:13.55pt;" o:ole="t" filled="f" o:preferrelative="t" stroked="f" coordsize="21600,21600">
            <v:path/>
            <v:fill on="f" focussize="0,0"/>
            <v:stroke on="f" joinstyle="miter"/>
            <v:imagedata r:id="rId99" o:title=""/>
            <o:lock v:ext="edit" aspectratio="t"/>
            <w10:wrap type="none"/>
            <w10:anchorlock/>
          </v:shape>
          <o:OLEObject Type="Embed" ProgID="Equation.DSMT4" ShapeID="_x0000_i1067" DrawAspect="Content" ObjectID="_1468075767" r:id="rId98">
            <o:LockedField>false</o:LockedField>
          </o:OLEObject>
        </w:object>
      </w:r>
      <w:r>
        <w:rPr>
          <w:rFonts w:ascii="Times New Roman"/>
          <w:position w:val="-4"/>
        </w:rPr>
        <w:t xml:space="preserve">   </w:t>
      </w:r>
      <w:r>
        <w:rPr>
          <w:rFonts w:ascii="Times New Roman"/>
        </w:rPr>
        <w:t>——会展人员的住宿天数，单位为天；</w:t>
      </w:r>
    </w:p>
    <w:p>
      <w:pPr>
        <w:pStyle w:val="57"/>
        <w:spacing w:line="440" w:lineRule="exact"/>
        <w:ind w:firstLine="420"/>
        <w:rPr>
          <w:rFonts w:ascii="Times New Roman"/>
        </w:rPr>
      </w:pPr>
      <w:r>
        <w:rPr>
          <w:rFonts w:ascii="Times New Roman"/>
          <w:position w:val="-12"/>
        </w:rPr>
        <w:object>
          <v:shape id="_x0000_i1068" o:spt="75" type="#_x0000_t75" style="height:15.95pt;width:26.55pt;" o:ole="t" filled="f" o:preferrelative="t" stroked="f" coordsize="21600,21600">
            <v:path/>
            <v:fill on="f" focussize="0,0"/>
            <v:stroke on="f" joinstyle="miter"/>
            <v:imagedata r:id="rId101" o:title=""/>
            <o:lock v:ext="edit" aspectratio="t"/>
            <w10:wrap type="none"/>
            <w10:anchorlock/>
          </v:shape>
          <o:OLEObject Type="Embed" ProgID="Equation.DSMT4" ShapeID="_x0000_i1068" DrawAspect="Content" ObjectID="_1468075768" r:id="rId100">
            <o:LockedField>false</o:LockedField>
          </o:OLEObject>
        </w:object>
      </w:r>
      <w:r>
        <w:rPr>
          <w:rFonts w:ascii="Times New Roman"/>
          <w:spacing w:val="-20"/>
          <w:position w:val="-14"/>
        </w:rPr>
        <w:t xml:space="preserve"> </w:t>
      </w:r>
      <w:r>
        <w:rPr>
          <w:rFonts w:ascii="Times New Roman"/>
        </w:rPr>
        <w:t>——酒店住宿的温室气体排放因子，单位为</w:t>
      </w:r>
      <w:r>
        <w:rPr>
          <w:rFonts w:ascii="Times New Roman"/>
          <w:sz w:val="18"/>
          <w:szCs w:val="18"/>
        </w:rPr>
        <w:t>kg</w:t>
      </w:r>
      <w:r>
        <w:rPr>
          <w:rFonts w:ascii="Times New Roman"/>
        </w:rPr>
        <w:t>CO</w:t>
      </w:r>
      <w:r>
        <w:rPr>
          <w:rFonts w:ascii="Times New Roman"/>
          <w:vertAlign w:val="subscript"/>
        </w:rPr>
        <w:t>2</w:t>
      </w:r>
      <w:r>
        <w:rPr>
          <w:rFonts w:ascii="Times New Roman"/>
        </w:rPr>
        <w:t>e/间·晚。</w:t>
      </w:r>
    </w:p>
    <w:p>
      <w:pPr>
        <w:pStyle w:val="66"/>
        <w:spacing w:before="156" w:after="156"/>
        <w:rPr>
          <w:rFonts w:ascii="Times New Roman"/>
        </w:rPr>
      </w:pPr>
      <w:r>
        <w:rPr>
          <w:rFonts w:ascii="Times New Roman"/>
        </w:rPr>
        <w:t>会展人员餐饮排放量</w:t>
      </w:r>
    </w:p>
    <w:p>
      <w:pPr>
        <w:pStyle w:val="57"/>
        <w:ind w:firstLine="420"/>
        <w:rPr>
          <w:rFonts w:ascii="Times New Roman"/>
        </w:rPr>
      </w:pPr>
      <w:r>
        <w:rPr>
          <w:rFonts w:ascii="Times New Roman"/>
        </w:rPr>
        <w:t>会展人员餐饮产生的排放量，根据餐饮次数，计算公式为式（9）：</w:t>
      </w:r>
    </w:p>
    <w:p>
      <w:pPr>
        <w:pStyle w:val="114"/>
        <w:rPr>
          <w:rFonts w:ascii="Times New Roman" w:hAnsi="Times New Roman"/>
        </w:rPr>
      </w:pPr>
      <w:r>
        <w:rPr>
          <w:rFonts w:ascii="Times New Roman" w:hAnsi="Times New Roman"/>
        </w:rPr>
        <w:tab/>
      </w:r>
      <w:r>
        <w:rPr>
          <w:rFonts w:ascii="Times New Roman" w:hAnsi="Times New Roman"/>
          <w:i/>
          <w:position w:val="-12"/>
        </w:rPr>
        <w:object>
          <v:shape id="_x0000_i1069" o:spt="75" type="#_x0000_t75" style="height:16.5pt;width:100.9pt;" o:ole="t" filled="f" o:preferrelative="t" stroked="f" coordsize="21600,21600">
            <v:path/>
            <v:fill on="f" focussize="0,0"/>
            <v:stroke on="f" joinstyle="miter"/>
            <v:imagedata r:id="rId103" o:title=""/>
            <o:lock v:ext="edit" aspectratio="t"/>
            <w10:wrap type="none"/>
            <w10:anchorlock/>
          </v:shape>
          <o:OLEObject Type="Embed" ProgID="Equation.DSMT4" ShapeID="_x0000_i1069" DrawAspect="Content" ObjectID="_1468075769" r:id="rId102">
            <o:LockedField>false</o:LockedField>
          </o:OLEObject>
        </w:object>
      </w:r>
      <w:r>
        <w:rPr>
          <w:rFonts w:ascii="Times New Roman" w:hAnsi="Times New Roman" w:eastAsia="微软雅黑"/>
        </w:rPr>
        <w:tab/>
      </w:r>
      <w:r>
        <w:rPr>
          <w:rFonts w:ascii="Times New Roman" w:hAnsi="Times New Roman"/>
        </w:rPr>
        <w:t>(</w:t>
      </w:r>
      <w:r>
        <w:rPr>
          <w:rFonts w:ascii="Times New Roman" w:hAnsi="Times New Roman"/>
        </w:rPr>
        <w:fldChar w:fldCharType="begin"/>
      </w:r>
      <w:r>
        <w:rPr>
          <w:rFonts w:ascii="Times New Roman" w:hAnsi="Times New Roman"/>
        </w:rPr>
        <w:instrText xml:space="preserve"> AUTONUM </w:instrText>
      </w:r>
      <w:r>
        <w:rPr>
          <w:rFonts w:ascii="Times New Roman" w:hAnsi="Times New Roman"/>
        </w:rPr>
        <w:fldChar w:fldCharType="end"/>
      </w:r>
      <w:r>
        <w:rPr>
          <w:rFonts w:ascii="Times New Roman" w:hAnsi="Times New Roman"/>
        </w:rPr>
        <w:t>)</w:t>
      </w:r>
    </w:p>
    <w:p>
      <w:pPr>
        <w:pStyle w:val="56"/>
        <w:ind w:firstLine="420"/>
        <w:rPr>
          <w:rFonts w:ascii="Times New Roman" w:hAnsi="Times New Roman"/>
        </w:rPr>
      </w:pPr>
      <w:r>
        <w:rPr>
          <w:rFonts w:ascii="Times New Roman" w:hAnsi="Times New Roman"/>
        </w:rPr>
        <w:t>式中：</w:t>
      </w:r>
    </w:p>
    <w:p>
      <w:pPr>
        <w:pStyle w:val="57"/>
        <w:spacing w:line="440" w:lineRule="exact"/>
        <w:ind w:firstLine="403" w:firstLineChars="192"/>
        <w:rPr>
          <w:rFonts w:ascii="Times New Roman"/>
        </w:rPr>
      </w:pPr>
      <w:r>
        <w:rPr>
          <w:rFonts w:ascii="Times New Roman"/>
          <w:position w:val="-12"/>
        </w:rPr>
        <w:object>
          <v:shape id="_x0000_i1070" o:spt="75" type="#_x0000_t75" style="height:15.95pt;width:22.45pt;" o:ole="t" filled="f" o:preferrelative="t" stroked="f" coordsize="21600,21600">
            <v:path/>
            <v:fill on="f" focussize="0,0"/>
            <v:stroke on="f" joinstyle="miter"/>
            <v:imagedata r:id="rId105" o:title=""/>
            <o:lock v:ext="edit" aspectratio="t"/>
            <w10:wrap type="none"/>
            <w10:anchorlock/>
          </v:shape>
          <o:OLEObject Type="Embed" ProgID="Equation.DSMT4" ShapeID="_x0000_i1070" DrawAspect="Content" ObjectID="_1468075770" r:id="rId104">
            <o:LockedField>false</o:LockedField>
          </o:OLEObject>
        </w:object>
      </w:r>
      <w:r>
        <w:rPr>
          <w:rFonts w:ascii="Times New Roman"/>
          <w:position w:val="-14"/>
        </w:rPr>
        <w:t xml:space="preserve"> </w:t>
      </w:r>
      <w:r>
        <w:rPr>
          <w:rFonts w:ascii="Times New Roman"/>
        </w:rPr>
        <w:t>——会展人员餐饮活动产生的排放量，单位为吨二氧化碳当量（tCO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szCs w:val="21"/>
        </w:rPr>
      </w:pPr>
      <w:r>
        <w:rPr>
          <w:rFonts w:ascii="Times New Roman"/>
          <w:position w:val="-10"/>
        </w:rPr>
        <w:object>
          <v:shape id="_x0000_i1071" o:spt="75" type="#_x0000_t75" style="height:15.95pt;width:11.2pt;" o:ole="t" filled="f" o:preferrelative="t" stroked="f" coordsize="21600,21600">
            <v:path/>
            <v:fill on="f" focussize="0,0"/>
            <v:stroke on="f" joinstyle="miter"/>
            <v:imagedata r:id="rId107" o:title=""/>
            <o:lock v:ext="edit" aspectratio="t"/>
            <w10:wrap type="none"/>
            <w10:anchorlock/>
          </v:shape>
          <o:OLEObject Type="Embed" ProgID="Equation.DSMT4" ShapeID="_x0000_i1071" DrawAspect="Content" ObjectID="_1468075771" r:id="rId106">
            <o:LockedField>false</o:LockedField>
          </o:OLEObject>
        </w:object>
      </w:r>
      <w:r>
        <w:rPr>
          <w:rFonts w:ascii="Times New Roman"/>
          <w:position w:val="-12"/>
        </w:rPr>
        <w:t xml:space="preserve">  </w:t>
      </w:r>
      <w:r>
        <w:rPr>
          <w:rFonts w:ascii="Times New Roman"/>
          <w:spacing w:val="-20"/>
          <w:position w:val="-12"/>
        </w:rPr>
        <w:t xml:space="preserve">  </w:t>
      </w:r>
      <w:r>
        <w:rPr>
          <w:rFonts w:ascii="Times New Roman"/>
        </w:rPr>
        <w:t>——会展人员餐饮次数，单位为次；</w:t>
      </w:r>
    </w:p>
    <w:p>
      <w:pPr>
        <w:pStyle w:val="57"/>
        <w:spacing w:line="440" w:lineRule="exact"/>
        <w:ind w:firstLine="420"/>
        <w:rPr>
          <w:rFonts w:ascii="Times New Roman"/>
        </w:rPr>
      </w:pPr>
      <w:r>
        <w:rPr>
          <w:rFonts w:ascii="Times New Roman"/>
          <w:position w:val="-12"/>
        </w:rPr>
        <w:object>
          <v:shape id="_x0000_i1072" o:spt="75" type="#_x0000_t75" style="height:15.95pt;width:26.55pt;" o:ole="t" filled="f" o:preferrelative="t" stroked="f" coordsize="21600,21600">
            <v:path/>
            <v:fill on="f" focussize="0,0"/>
            <v:stroke on="f" joinstyle="miter"/>
            <v:imagedata r:id="rId109" o:title=""/>
            <o:lock v:ext="edit" aspectratio="t"/>
            <w10:wrap type="none"/>
            <w10:anchorlock/>
          </v:shape>
          <o:OLEObject Type="Embed" ProgID="Equation.DSMT4" ShapeID="_x0000_i1072" DrawAspect="Content" ObjectID="_1468075772" r:id="rId108">
            <o:LockedField>false</o:LockedField>
          </o:OLEObject>
        </w:object>
      </w:r>
      <w:r>
        <w:rPr>
          <w:rFonts w:ascii="Times New Roman"/>
          <w:spacing w:val="-20"/>
          <w:position w:val="-14"/>
        </w:rPr>
        <w:t xml:space="preserve"> </w:t>
      </w:r>
      <w:r>
        <w:rPr>
          <w:rFonts w:ascii="Times New Roman"/>
        </w:rPr>
        <w:t>——餐饮的温室气体排放因子，单位为</w:t>
      </w:r>
      <w:r>
        <w:rPr>
          <w:rFonts w:ascii="Times New Roman"/>
          <w:sz w:val="18"/>
          <w:szCs w:val="18"/>
        </w:rPr>
        <w:t>kg</w:t>
      </w:r>
      <w:r>
        <w:rPr>
          <w:rFonts w:ascii="Times New Roman"/>
        </w:rPr>
        <w:t>CO</w:t>
      </w:r>
      <w:r>
        <w:rPr>
          <w:rFonts w:ascii="Times New Roman"/>
          <w:vertAlign w:val="subscript"/>
        </w:rPr>
        <w:t>2</w:t>
      </w:r>
      <w:r>
        <w:rPr>
          <w:rFonts w:ascii="Times New Roman"/>
        </w:rPr>
        <w:t>e</w:t>
      </w:r>
      <w:r>
        <w:rPr>
          <w:rFonts w:ascii="Times New Roman"/>
          <w:sz w:val="18"/>
          <w:szCs w:val="18"/>
        </w:rPr>
        <w:t>/间·晚</w:t>
      </w:r>
      <w:r>
        <w:rPr>
          <w:rFonts w:ascii="Times New Roman"/>
        </w:rPr>
        <w:t>。</w:t>
      </w:r>
    </w:p>
    <w:p>
      <w:pPr>
        <w:pStyle w:val="66"/>
        <w:spacing w:before="156" w:after="156"/>
        <w:rPr>
          <w:rFonts w:ascii="Times New Roman"/>
        </w:rPr>
      </w:pPr>
      <w:r>
        <w:rPr>
          <w:rFonts w:ascii="Times New Roman"/>
        </w:rPr>
        <w:t>会展用品隐含碳排放量</w:t>
      </w:r>
    </w:p>
    <w:p>
      <w:pPr>
        <w:pStyle w:val="57"/>
        <w:ind w:firstLine="420"/>
        <w:rPr>
          <w:rFonts w:ascii="Times New Roman"/>
        </w:rPr>
      </w:pPr>
      <w:r>
        <w:rPr>
          <w:rFonts w:ascii="Times New Roman"/>
        </w:rPr>
        <w:t>会展用品隐含的碳排放量，可通过第i种会展用品的活动水平数据乘以第i种会展用品排放因子得到，计算公式为式（10）：</w:t>
      </w:r>
    </w:p>
    <w:p>
      <w:pPr>
        <w:pStyle w:val="114"/>
        <w:rPr>
          <w:rFonts w:ascii="Times New Roman" w:hAnsi="Times New Roman"/>
        </w:rPr>
      </w:pPr>
      <w:r>
        <w:rPr>
          <w:rFonts w:ascii="Times New Roman" w:hAnsi="Times New Roman"/>
        </w:rPr>
        <w:tab/>
      </w:r>
      <w:r>
        <w:rPr>
          <w:rFonts w:ascii="Times New Roman" w:hAnsi="Times New Roman"/>
          <w:position w:val="-26"/>
        </w:rPr>
        <w:object>
          <v:shape id="_x0000_i1073" o:spt="75" type="#_x0000_t75" style="height:31.3pt;width:122.15pt;" o:ole="t" filled="f" o:preferrelative="t" stroked="f" coordsize="21600,21600">
            <v:path/>
            <v:fill on="f" focussize="0,0"/>
            <v:stroke on="f" joinstyle="miter"/>
            <v:imagedata r:id="rId111" o:title=""/>
            <o:lock v:ext="edit" aspectratio="t"/>
            <w10:wrap type="none"/>
            <w10:anchorlock/>
          </v:shape>
          <o:OLEObject Type="Embed" ProgID="Equation.DSMT4" ShapeID="_x0000_i1073" DrawAspect="Content" ObjectID="_1468075773" r:id="rId110">
            <o:LockedField>false</o:LockedField>
          </o:OLEObject>
        </w:object>
      </w:r>
      <w:r>
        <w:rPr>
          <w:rFonts w:ascii="Times New Roman" w:hAnsi="Times New Roman" w:eastAsia="微软雅黑"/>
        </w:rPr>
        <w:tab/>
      </w:r>
      <w:r>
        <w:rPr>
          <w:rFonts w:ascii="Times New Roman" w:hAnsi="Times New Roman"/>
        </w:rPr>
        <w:t>(</w:t>
      </w:r>
      <w:r>
        <w:rPr>
          <w:rFonts w:ascii="Times New Roman" w:hAnsi="Times New Roman"/>
        </w:rPr>
        <w:fldChar w:fldCharType="begin"/>
      </w:r>
      <w:r>
        <w:rPr>
          <w:rFonts w:ascii="Times New Roman" w:hAnsi="Times New Roman"/>
        </w:rPr>
        <w:instrText xml:space="preserve"> AUTONUM </w:instrText>
      </w:r>
      <w:r>
        <w:rPr>
          <w:rFonts w:ascii="Times New Roman" w:hAnsi="Times New Roman"/>
        </w:rPr>
        <w:fldChar w:fldCharType="end"/>
      </w:r>
      <w:r>
        <w:rPr>
          <w:rFonts w:ascii="Times New Roman" w:hAnsi="Times New Roman"/>
        </w:rPr>
        <w:t>)</w:t>
      </w:r>
    </w:p>
    <w:p>
      <w:pPr>
        <w:pStyle w:val="56"/>
        <w:ind w:firstLine="420"/>
        <w:rPr>
          <w:rFonts w:ascii="Times New Roman" w:hAnsi="Times New Roman"/>
        </w:rPr>
      </w:pPr>
      <w:r>
        <w:rPr>
          <w:rFonts w:ascii="Times New Roman" w:hAnsi="Times New Roman"/>
        </w:rPr>
        <w:t>式中：</w:t>
      </w:r>
    </w:p>
    <w:p>
      <w:pPr>
        <w:pStyle w:val="57"/>
        <w:spacing w:line="440" w:lineRule="exact"/>
        <w:ind w:firstLine="420"/>
        <w:rPr>
          <w:rFonts w:ascii="Times New Roman"/>
        </w:rPr>
      </w:pPr>
      <w:r>
        <w:rPr>
          <w:rFonts w:ascii="Times New Roman"/>
          <w:position w:val="-12"/>
        </w:rPr>
        <w:object>
          <v:shape id="_x0000_i1074" o:spt="75" type="#_x0000_t75" style="height:15.95pt;width:21.85pt;" o:ole="t" filled="f" o:preferrelative="t" stroked="f" coordsize="21600,21600">
            <v:path/>
            <v:fill on="f" focussize="0,0"/>
            <v:stroke on="f" joinstyle="miter"/>
            <v:imagedata r:id="rId113" o:title=""/>
            <o:lock v:ext="edit" aspectratio="t"/>
            <w10:wrap type="none"/>
            <w10:anchorlock/>
          </v:shape>
          <o:OLEObject Type="Embed" ProgID="Equation.DSMT4" ShapeID="_x0000_i1074" DrawAspect="Content" ObjectID="_1468075774" r:id="rId112">
            <o:LockedField>false</o:LockedField>
          </o:OLEObject>
        </w:object>
      </w:r>
      <w:r>
        <w:rPr>
          <w:rFonts w:ascii="Times New Roman"/>
          <w:position w:val="-12"/>
        </w:rPr>
        <w:t xml:space="preserve">  </w:t>
      </w:r>
      <w:r>
        <w:rPr>
          <w:rFonts w:ascii="Times New Roman"/>
        </w:rPr>
        <w:t>——会展用品隐含的碳排放量，单位为吨二氧化碳当量（tCO</w:t>
      </w:r>
      <w:r>
        <w:rPr>
          <w:rFonts w:ascii="Times New Roman"/>
          <w:vertAlign w:val="subscript"/>
        </w:rPr>
        <w:t>2</w:t>
      </w:r>
      <w:r>
        <w:rPr>
          <w:rFonts w:ascii="Times New Roman"/>
        </w:rPr>
        <w:t>e）；</w:t>
      </w:r>
    </w:p>
    <w:p>
      <w:pPr>
        <w:pStyle w:val="57"/>
        <w:spacing w:line="440" w:lineRule="exact"/>
        <w:ind w:firstLine="420"/>
        <w:rPr>
          <w:rFonts w:ascii="Times New Roman"/>
        </w:rPr>
      </w:pPr>
      <w:r>
        <w:rPr>
          <w:rFonts w:ascii="Times New Roman"/>
          <w:position w:val="-6"/>
        </w:rPr>
        <w:object>
          <v:shape id="_x0000_i1075" o:spt="75" type="#_x0000_t75" style="height:13pt;width:34.8pt;" o:ole="t" filled="f" o:preferrelative="t" stroked="f" coordsize="21600,21600">
            <v:path/>
            <v:fill on="f" focussize="0,0"/>
            <v:stroke on="f" joinstyle="miter"/>
            <v:imagedata r:id="rId115" o:title=""/>
            <o:lock v:ext="edit" aspectratio="t"/>
            <w10:wrap type="none"/>
            <w10:anchorlock/>
          </v:shape>
          <o:OLEObject Type="Embed" ProgID="Equation.DSMT4" ShapeID="_x0000_i1075" DrawAspect="Content" ObjectID="_1468075775" r:id="rId114">
            <o:LockedField>false</o:LockedField>
          </o:OLEObject>
        </w:object>
      </w:r>
      <w:r>
        <w:rPr>
          <w:rFonts w:ascii="Times New Roman"/>
        </w:rPr>
        <w:t>——第i种耗材的活动水平数据，单位为吨（t）；</w:t>
      </w:r>
    </w:p>
    <w:p>
      <w:pPr>
        <w:pStyle w:val="57"/>
        <w:spacing w:line="440" w:lineRule="exact"/>
        <w:ind w:firstLine="420"/>
        <w:rPr>
          <w:rFonts w:ascii="Times New Roman"/>
        </w:rPr>
      </w:pPr>
      <w:r>
        <w:rPr>
          <w:rFonts w:ascii="Times New Roman"/>
          <w:position w:val="-6"/>
        </w:rPr>
        <w:object>
          <v:shape id="_x0000_i1076" o:spt="75" type="#_x0000_t75" style="height:13pt;width:32.45pt;" o:ole="t" filled="f" o:preferrelative="t" stroked="f" coordsize="21600,21600">
            <v:path/>
            <v:fill on="f" focussize="0,0"/>
            <v:stroke on="f" joinstyle="miter"/>
            <v:imagedata r:id="rId117" o:title=""/>
            <o:lock v:ext="edit" aspectratio="t"/>
            <w10:wrap type="none"/>
            <w10:anchorlock/>
          </v:shape>
          <o:OLEObject Type="Embed" ProgID="Equation.DSMT4" ShapeID="_x0000_i1076" DrawAspect="Content" ObjectID="_1468075776" r:id="rId116">
            <o:LockedField>false</o:LockedField>
          </o:OLEObject>
        </w:object>
      </w:r>
      <w:r>
        <w:rPr>
          <w:rFonts w:ascii="Times New Roman"/>
        </w:rPr>
        <w:t>——第i种会展用品的温室气体排放因子，单位为吨二氧化碳当量每吨（tCO</w:t>
      </w:r>
      <w:r>
        <w:rPr>
          <w:rFonts w:ascii="Times New Roman"/>
          <w:vertAlign w:val="subscript"/>
        </w:rPr>
        <w:t>2</w:t>
      </w:r>
      <w:r>
        <w:rPr>
          <w:rFonts w:ascii="Times New Roman"/>
        </w:rPr>
        <w:t>e/t）；</w:t>
      </w:r>
    </w:p>
    <w:p>
      <w:pPr>
        <w:pStyle w:val="66"/>
        <w:spacing w:before="156" w:after="156"/>
        <w:rPr>
          <w:rFonts w:ascii="Times New Roman"/>
        </w:rPr>
      </w:pPr>
      <w:r>
        <w:rPr>
          <w:rFonts w:ascii="Times New Roman"/>
        </w:rPr>
        <w:t>废弃物处理产生的排放量</w:t>
      </w:r>
    </w:p>
    <w:p>
      <w:pPr>
        <w:pStyle w:val="165"/>
        <w:rPr>
          <w:rFonts w:ascii="Times New Roman"/>
        </w:rPr>
      </w:pPr>
      <w:r>
        <w:rPr>
          <w:rFonts w:ascii="Times New Roman"/>
        </w:rPr>
        <w:t>废弃物处理产生的排放包括垃圾填埋产生的甲烷排放和垃圾焚烧矿物碳产生的二氧化碳排放。</w:t>
      </w:r>
    </w:p>
    <w:p>
      <w:pPr>
        <w:pStyle w:val="165"/>
        <w:rPr>
          <w:rFonts w:ascii="Times New Roman"/>
        </w:rPr>
      </w:pPr>
      <w:r>
        <w:rPr>
          <w:rFonts w:ascii="Times New Roman"/>
        </w:rPr>
        <w:t>垃圾填埋产生的甲烷排放可参考《省级温室气体清单编制指南（试行）》中填埋处理甲烷排放公式（5.1）计算。</w:t>
      </w:r>
      <w:r>
        <w:rPr>
          <w:rFonts w:ascii="Times New Roman"/>
        </w:rPr>
        <w:tab/>
      </w:r>
    </w:p>
    <w:p>
      <w:pPr>
        <w:pStyle w:val="165"/>
        <w:rPr>
          <w:rFonts w:ascii="Times New Roman"/>
        </w:rPr>
      </w:pPr>
      <w:r>
        <w:rPr>
          <w:rFonts w:ascii="Times New Roman"/>
        </w:rPr>
        <w:t xml:space="preserve">垃圾焚烧矿物碳产生的二氧化碳排放可参考《省级温室气体清单编制指南（试行）》中废弃物焚化和露天燃烧产生的二氧化碳排放量估算公式（5.5）计算。    </w:t>
      </w:r>
    </w:p>
    <w:p>
      <w:pPr>
        <w:pStyle w:val="106"/>
        <w:spacing w:before="156" w:after="156"/>
      </w:pPr>
      <w:bookmarkStart w:id="74" w:name="_Toc111814590"/>
      <w:r>
        <w:rPr>
          <w:rFonts w:hint="eastAsia"/>
        </w:rPr>
        <w:t>活动数据收集</w:t>
      </w:r>
      <w:bookmarkEnd w:id="74"/>
    </w:p>
    <w:p>
      <w:pPr>
        <w:pStyle w:val="66"/>
        <w:spacing w:before="156" w:after="156"/>
      </w:pPr>
      <w:r>
        <w:rPr>
          <w:rFonts w:hint="eastAsia"/>
        </w:rPr>
        <w:t>总则</w:t>
      </w:r>
    </w:p>
    <w:p>
      <w:pPr>
        <w:pStyle w:val="57"/>
        <w:ind w:firstLine="420"/>
      </w:pPr>
      <w:r>
        <w:rPr>
          <w:rFonts w:hint="eastAsia"/>
        </w:rPr>
        <w:t>活动数据可由会展活动主办方收集和汇总。</w:t>
      </w:r>
    </w:p>
    <w:p>
      <w:pPr>
        <w:pStyle w:val="66"/>
        <w:spacing w:before="156" w:after="156"/>
      </w:pPr>
      <w:r>
        <w:rPr>
          <w:rFonts w:hint="eastAsia"/>
        </w:rPr>
        <w:t>燃料燃烧排放</w:t>
      </w:r>
    </w:p>
    <w:p>
      <w:pPr>
        <w:pStyle w:val="165"/>
      </w:pPr>
      <w:r>
        <w:rPr>
          <w:rFonts w:hint="eastAsia"/>
        </w:rPr>
        <w:t>固定燃烧源和移动燃烧源消耗的化石燃料数据可优先选用计量数据，计量器具配备不满足要求时，采取估算方式获得数据。</w:t>
      </w:r>
    </w:p>
    <w:p>
      <w:pPr>
        <w:pStyle w:val="165"/>
      </w:pPr>
      <w:r>
        <w:rPr>
          <w:rFonts w:hint="eastAsia"/>
        </w:rPr>
        <w:t>固定燃烧源化石燃料消耗量宜根据相关的能源台账、购买发票、能源消耗记录表等方式获取；运输车辆的化石燃料消耗量可根据相关的能源台账、购油发票或通过车辆单位行驶里程能耗与行驶里程计算得出。</w:t>
      </w:r>
    </w:p>
    <w:p>
      <w:pPr>
        <w:pStyle w:val="66"/>
        <w:spacing w:before="156" w:after="156"/>
      </w:pPr>
      <w:r>
        <w:rPr>
          <w:rFonts w:hint="eastAsia"/>
        </w:rPr>
        <w:t>净购入电力、热力</w:t>
      </w:r>
    </w:p>
    <w:p>
      <w:pPr>
        <w:pStyle w:val="165"/>
      </w:pPr>
      <w:r>
        <w:rPr>
          <w:rFonts w:hint="eastAsia"/>
        </w:rPr>
        <w:t>会展活动场地净购入电力、热力数据可优先选用计量数据，计量器具宜满足</w:t>
      </w:r>
      <w:r>
        <w:t>GB/T 1716</w:t>
      </w:r>
      <w:r>
        <w:rPr>
          <w:rFonts w:hint="eastAsia"/>
        </w:rPr>
        <w:t>7的要求；计量器具配备不满足要求时，宜采取估算方式获得数据。</w:t>
      </w:r>
    </w:p>
    <w:p>
      <w:pPr>
        <w:pStyle w:val="165"/>
      </w:pPr>
      <w:r>
        <w:rPr>
          <w:rFonts w:hint="eastAsia"/>
        </w:rPr>
        <w:t>净购入的电力、热力数据以会展活动期间会展场地电表与热力表记录的数据为准，也可采用电费、热力费或结算单等结算凭证上的数据。</w:t>
      </w:r>
    </w:p>
    <w:p>
      <w:pPr>
        <w:pStyle w:val="66"/>
        <w:spacing w:before="156" w:after="156"/>
      </w:pPr>
      <w:r>
        <w:rPr>
          <w:rFonts w:hint="eastAsia"/>
        </w:rPr>
        <w:t>会展人员往返交通</w:t>
      </w:r>
    </w:p>
    <w:p>
      <w:pPr>
        <w:pStyle w:val="165"/>
      </w:pPr>
      <w:r>
        <w:rPr>
          <w:rFonts w:hint="eastAsia"/>
        </w:rPr>
        <w:t>会展人员的往返交通信息可在筹备阶段和实施阶段设计回执表和统计表，用于统计汇总会展人员的人数、往返里程、交通工具选择等活动数据，对未能准确统计的相关活动数据给出合理的估算依据和方法。</w:t>
      </w:r>
    </w:p>
    <w:p>
      <w:pPr>
        <w:pStyle w:val="165"/>
      </w:pPr>
      <w:r>
        <w:rPr>
          <w:rFonts w:hint="eastAsia"/>
        </w:rPr>
        <w:t>会展人员信息宜通过会展活动签到表或者参会证件发放记录获取，往返交通工具选取通过调查获取，里程根据起始目的地采用电子地图等工具测算获取。</w:t>
      </w:r>
    </w:p>
    <w:p>
      <w:pPr>
        <w:pStyle w:val="66"/>
        <w:spacing w:before="156" w:after="156"/>
      </w:pPr>
      <w:r>
        <w:rPr>
          <w:rFonts w:hint="eastAsia"/>
        </w:rPr>
        <w:t>会展人员住宿</w:t>
      </w:r>
    </w:p>
    <w:p>
      <w:pPr>
        <w:pStyle w:val="165"/>
      </w:pPr>
      <w:r>
        <w:rPr>
          <w:rFonts w:hint="eastAsia"/>
        </w:rPr>
        <w:t>会展人员的住宿信息可在筹备阶段和实施阶段设计回执表和统计表，用于统计汇总会展人员的住宿时间和房间等活动数据，对未能准确统计的相关活动数据给出合理的估算依据和方法。</w:t>
      </w:r>
    </w:p>
    <w:p>
      <w:pPr>
        <w:pStyle w:val="165"/>
      </w:pPr>
      <w:r>
        <w:rPr>
          <w:rFonts w:hint="eastAsia"/>
        </w:rPr>
        <w:t>会展人员住宿信息可通过提供会展活动住宿服务的酒店开具的住宿明细获取，也可通过调查会展人员获取。</w:t>
      </w:r>
    </w:p>
    <w:p>
      <w:pPr>
        <w:pStyle w:val="66"/>
        <w:spacing w:before="156" w:after="156"/>
      </w:pPr>
      <w:r>
        <w:rPr>
          <w:rFonts w:hint="eastAsia"/>
        </w:rPr>
        <w:t>会展人员餐饮</w:t>
      </w:r>
    </w:p>
    <w:p>
      <w:pPr>
        <w:pStyle w:val="165"/>
      </w:pPr>
      <w:r>
        <w:rPr>
          <w:rFonts w:hint="eastAsia"/>
        </w:rPr>
        <w:t>会展人员的餐饮信息可在筹备阶段和实施阶段设计回执表和统计表，用于统计汇总会展人员的餐饮次数等活动数据，对未能准确统计的相关活动数据给出合理的估算依据和方法。</w:t>
      </w:r>
    </w:p>
    <w:p>
      <w:pPr>
        <w:pStyle w:val="165"/>
      </w:pPr>
      <w:r>
        <w:rPr>
          <w:rFonts w:hint="eastAsia"/>
        </w:rPr>
        <w:t>会展人员餐饮信息可通过提供会展活动餐饮服务的餐厅或酒店开具的餐饮明细获取，也可通过调查会展人员获取。</w:t>
      </w:r>
    </w:p>
    <w:p>
      <w:pPr>
        <w:pStyle w:val="66"/>
        <w:spacing w:before="156" w:after="156"/>
      </w:pPr>
      <w:r>
        <w:rPr>
          <w:rFonts w:hint="eastAsia"/>
        </w:rPr>
        <w:t>会展用品隐含碳排放</w:t>
      </w:r>
    </w:p>
    <w:p>
      <w:pPr>
        <w:pStyle w:val="57"/>
        <w:ind w:firstLine="420"/>
      </w:pPr>
      <w:r>
        <w:rPr>
          <w:rFonts w:hint="eastAsia"/>
        </w:rPr>
        <w:t>会展用品数据可在筹备阶段和实施阶段设计回执表和统计表，用于统计汇总会展用品的种类和数量等活动数据，对未能准确统计的相关活动数据给出合理的估算依据和方法。</w:t>
      </w:r>
    </w:p>
    <w:p>
      <w:pPr>
        <w:pStyle w:val="66"/>
        <w:spacing w:before="156" w:after="156"/>
      </w:pPr>
      <w:r>
        <w:rPr>
          <w:rFonts w:hint="eastAsia"/>
        </w:rPr>
        <w:t>废弃物处理</w:t>
      </w:r>
    </w:p>
    <w:p>
      <w:pPr>
        <w:pStyle w:val="57"/>
        <w:ind w:firstLine="420"/>
      </w:pPr>
      <w:r>
        <w:rPr>
          <w:rFonts w:hint="eastAsia"/>
        </w:rPr>
        <w:t>固体废弃物填埋处理活动数据内容及其数据来源可参考《省级温室气体清单编制指南（试行）》中第五章第二节内容。</w:t>
      </w:r>
    </w:p>
    <w:p>
      <w:pPr>
        <w:pStyle w:val="106"/>
        <w:spacing w:before="156" w:after="156"/>
      </w:pPr>
      <w:bookmarkStart w:id="75" w:name="_Toc111814591"/>
      <w:r>
        <w:rPr>
          <w:rFonts w:hint="eastAsia"/>
        </w:rPr>
        <w:t>排放因子选取</w:t>
      </w:r>
      <w:bookmarkEnd w:id="75"/>
    </w:p>
    <w:p>
      <w:pPr>
        <w:pStyle w:val="66"/>
        <w:spacing w:before="156" w:after="156"/>
      </w:pPr>
      <w:r>
        <w:rPr>
          <w:rFonts w:hint="eastAsia"/>
        </w:rPr>
        <w:t>总则</w:t>
      </w:r>
    </w:p>
    <w:p>
      <w:pPr>
        <w:pStyle w:val="57"/>
        <w:ind w:firstLine="0" w:firstLineChars="0"/>
      </w:pPr>
      <w:r>
        <w:rPr>
          <w:rFonts w:hint="eastAsia"/>
        </w:rPr>
        <w:t xml:space="preserve">    排放因子数据宜优先采用实测数据，如无可采用本文件的推荐值，并根据有关文件最新数值适时更新。</w:t>
      </w:r>
    </w:p>
    <w:p>
      <w:pPr>
        <w:pStyle w:val="66"/>
        <w:spacing w:before="156" w:after="156"/>
      </w:pPr>
      <w:r>
        <w:rPr>
          <w:rFonts w:hint="eastAsia"/>
        </w:rPr>
        <w:t>燃料燃烧</w:t>
      </w:r>
    </w:p>
    <w:p>
      <w:pPr>
        <w:pStyle w:val="57"/>
        <w:ind w:firstLine="420"/>
      </w:pPr>
      <w:r>
        <w:rPr>
          <w:rFonts w:hint="eastAsia"/>
        </w:rPr>
        <w:t>燃料燃烧的排放因子计算所需的化石燃料平均低位热值、单位含碳量与碳氧化率的缺省值见表1。</w:t>
      </w:r>
    </w:p>
    <w:p>
      <w:pPr>
        <w:pStyle w:val="113"/>
        <w:numPr>
          <w:ilvl w:val="0"/>
          <w:numId w:val="34"/>
        </w:numPr>
        <w:spacing w:before="156" w:afterLines="0"/>
      </w:pPr>
      <w:r>
        <w:rPr>
          <w:rFonts w:hint="eastAsia"/>
        </w:rPr>
        <w:t>化石燃料低位发热量、单位热值含碳量与碳氧化率缺省值表</w:t>
      </w:r>
    </w:p>
    <w:tbl>
      <w:tblPr>
        <w:tblStyle w:val="33"/>
        <w:tblW w:w="9570" w:type="dxa"/>
        <w:tblInd w:w="0" w:type="dxa"/>
        <w:tblLayout w:type="fixed"/>
        <w:tblCellMar>
          <w:top w:w="0" w:type="dxa"/>
          <w:left w:w="108" w:type="dxa"/>
          <w:bottom w:w="0" w:type="dxa"/>
          <w:right w:w="108" w:type="dxa"/>
        </w:tblCellMar>
      </w:tblPr>
      <w:tblGrid>
        <w:gridCol w:w="1912"/>
        <w:gridCol w:w="1665"/>
        <w:gridCol w:w="1945"/>
        <w:gridCol w:w="1945"/>
        <w:gridCol w:w="2103"/>
      </w:tblGrid>
      <w:tr>
        <w:tblPrEx>
          <w:tblLayout w:type="fixed"/>
          <w:tblCellMar>
            <w:top w:w="0" w:type="dxa"/>
            <w:left w:w="108" w:type="dxa"/>
            <w:bottom w:w="0" w:type="dxa"/>
            <w:right w:w="108" w:type="dxa"/>
          </w:tblCellMar>
        </w:tblPrEx>
        <w:trPr>
          <w:trHeight w:val="372" w:hRule="atLeast"/>
        </w:trPr>
        <w:tc>
          <w:tcPr>
            <w:tcW w:w="1912" w:type="dxa"/>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exact"/>
              <w:jc w:val="center"/>
              <w:rPr>
                <w:rFonts w:ascii="Times New Roman" w:hAnsi="Times New Roman"/>
                <w:color w:val="000000"/>
                <w:kern w:val="0"/>
                <w:sz w:val="18"/>
                <w:szCs w:val="18"/>
              </w:rPr>
            </w:pPr>
            <w:r>
              <w:rPr>
                <w:rFonts w:ascii="Times New Roman" w:hAnsi="Times New Roman"/>
                <w:color w:val="000000"/>
                <w:kern w:val="0"/>
                <w:sz w:val="18"/>
                <w:szCs w:val="18"/>
              </w:rPr>
              <w:t>能源名称</w:t>
            </w:r>
          </w:p>
        </w:tc>
        <w:tc>
          <w:tcPr>
            <w:tcW w:w="1665" w:type="dxa"/>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exact"/>
              <w:jc w:val="center"/>
              <w:rPr>
                <w:rFonts w:ascii="Times New Roman" w:hAnsi="Times New Roman"/>
                <w:color w:val="000000"/>
                <w:kern w:val="0"/>
                <w:sz w:val="18"/>
                <w:szCs w:val="18"/>
              </w:rPr>
            </w:pPr>
            <w:r>
              <w:rPr>
                <w:rFonts w:ascii="Times New Roman" w:hAnsi="Times New Roman"/>
                <w:color w:val="000000"/>
                <w:kern w:val="0"/>
                <w:sz w:val="18"/>
                <w:szCs w:val="18"/>
              </w:rPr>
              <w:t>计量单位</w:t>
            </w:r>
          </w:p>
        </w:tc>
        <w:tc>
          <w:tcPr>
            <w:tcW w:w="1945" w:type="dxa"/>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exact"/>
              <w:jc w:val="center"/>
              <w:rPr>
                <w:rFonts w:ascii="Times New Roman" w:hAnsi="Times New Roman"/>
                <w:color w:val="000000"/>
                <w:kern w:val="0"/>
                <w:sz w:val="18"/>
                <w:szCs w:val="18"/>
              </w:rPr>
            </w:pPr>
            <w:r>
              <w:rPr>
                <w:rFonts w:ascii="Times New Roman" w:hAnsi="Times New Roman"/>
                <w:color w:val="000000"/>
                <w:kern w:val="0"/>
                <w:sz w:val="18"/>
                <w:szCs w:val="18"/>
              </w:rPr>
              <w:t>低位发热量</w:t>
            </w:r>
            <w:r>
              <w:rPr>
                <w:rFonts w:ascii="Times New Roman" w:hAnsi="Times New Roman"/>
                <w:color w:val="000000"/>
                <w:kern w:val="0"/>
                <w:sz w:val="18"/>
                <w:szCs w:val="18"/>
              </w:rPr>
              <w:br w:type="textWrapping"/>
            </w:r>
            <w:r>
              <w:rPr>
                <w:rFonts w:ascii="Times New Roman" w:hAnsi="Times New Roman"/>
                <w:color w:val="000000"/>
                <w:kern w:val="0"/>
                <w:sz w:val="18"/>
                <w:szCs w:val="18"/>
              </w:rPr>
              <w:t>(GJ/t, GJ/10</w:t>
            </w:r>
            <w:r>
              <w:rPr>
                <w:rFonts w:ascii="Times New Roman" w:hAnsi="Times New Roman"/>
                <w:color w:val="000000"/>
                <w:kern w:val="0"/>
                <w:sz w:val="18"/>
                <w:szCs w:val="18"/>
                <w:vertAlign w:val="superscript"/>
              </w:rPr>
              <w:t>4</w:t>
            </w:r>
            <w:r>
              <w:rPr>
                <w:rFonts w:ascii="Times New Roman" w:hAnsi="Times New Roman"/>
                <w:color w:val="000000"/>
                <w:kern w:val="0"/>
                <w:sz w:val="18"/>
                <w:szCs w:val="18"/>
              </w:rPr>
              <w:t>Nm</w:t>
            </w:r>
            <w:r>
              <w:rPr>
                <w:rFonts w:ascii="Times New Roman" w:hAnsi="Times New Roman"/>
                <w:color w:val="000000"/>
                <w:kern w:val="0"/>
                <w:sz w:val="18"/>
                <w:szCs w:val="18"/>
                <w:vertAlign w:val="superscript"/>
              </w:rPr>
              <w:t>3</w:t>
            </w:r>
            <w:r>
              <w:rPr>
                <w:rFonts w:ascii="Times New Roman" w:hAnsi="Times New Roman"/>
                <w:color w:val="000000"/>
                <w:kern w:val="0"/>
                <w:sz w:val="18"/>
                <w:szCs w:val="18"/>
              </w:rPr>
              <w:t>)</w:t>
            </w:r>
          </w:p>
        </w:tc>
        <w:tc>
          <w:tcPr>
            <w:tcW w:w="1945" w:type="dxa"/>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exact"/>
              <w:jc w:val="center"/>
              <w:rPr>
                <w:rFonts w:ascii="Times New Roman" w:hAnsi="Times New Roman"/>
                <w:color w:val="000000"/>
                <w:kern w:val="0"/>
                <w:sz w:val="18"/>
                <w:szCs w:val="18"/>
              </w:rPr>
            </w:pPr>
            <w:r>
              <w:rPr>
                <w:rFonts w:ascii="Times New Roman" w:hAnsi="Times New Roman"/>
                <w:color w:val="000000"/>
                <w:kern w:val="0"/>
                <w:sz w:val="18"/>
                <w:szCs w:val="18"/>
              </w:rPr>
              <w:t>单位热值含碳量</w:t>
            </w:r>
            <w:r>
              <w:rPr>
                <w:rFonts w:ascii="Times New Roman" w:hAnsi="Times New Roman"/>
                <w:color w:val="000000"/>
                <w:kern w:val="0"/>
                <w:sz w:val="18"/>
                <w:szCs w:val="18"/>
              </w:rPr>
              <w:br w:type="textWrapping"/>
            </w:r>
            <w:r>
              <w:rPr>
                <w:rFonts w:ascii="Times New Roman" w:hAnsi="Times New Roman"/>
                <w:color w:val="000000"/>
                <w:kern w:val="0"/>
                <w:sz w:val="18"/>
                <w:szCs w:val="18"/>
              </w:rPr>
              <w:t>(tC/GJ)</w:t>
            </w:r>
          </w:p>
        </w:tc>
        <w:tc>
          <w:tcPr>
            <w:tcW w:w="2103" w:type="dxa"/>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exact"/>
              <w:jc w:val="center"/>
              <w:rPr>
                <w:rFonts w:ascii="Times New Roman" w:hAnsi="Times New Roman"/>
                <w:color w:val="000000"/>
                <w:kern w:val="0"/>
                <w:sz w:val="18"/>
                <w:szCs w:val="18"/>
              </w:rPr>
            </w:pPr>
            <w:r>
              <w:rPr>
                <w:rFonts w:ascii="Times New Roman" w:hAnsi="Times New Roman"/>
                <w:color w:val="000000"/>
                <w:kern w:val="0"/>
                <w:sz w:val="18"/>
                <w:szCs w:val="18"/>
              </w:rPr>
              <w:t>碳氧化率</w:t>
            </w:r>
            <w:r>
              <w:rPr>
                <w:rFonts w:ascii="Times New Roman" w:hAnsi="Times New Roman"/>
                <w:color w:val="000000"/>
                <w:kern w:val="0"/>
                <w:sz w:val="18"/>
                <w:szCs w:val="18"/>
              </w:rPr>
              <w:br w:type="textWrapping"/>
            </w:r>
            <w:r>
              <w:rPr>
                <w:rFonts w:ascii="Times New Roman" w:hAnsi="Times New Roman"/>
                <w:color w:val="000000"/>
                <w:kern w:val="0"/>
                <w:sz w:val="18"/>
                <w:szCs w:val="18"/>
              </w:rPr>
              <w:t>（%）</w:t>
            </w: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原油</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t</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41.816</w:t>
            </w:r>
            <w:r>
              <w:rPr>
                <w:rFonts w:ascii="Times New Roman" w:hAnsi="Times New Roman"/>
                <w:color w:val="000000"/>
                <w:kern w:val="0"/>
                <w:sz w:val="18"/>
                <w:szCs w:val="18"/>
                <w:vertAlign w:val="superscript"/>
              </w:rPr>
              <w:t>a</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0.02008</w:t>
            </w:r>
            <w:r>
              <w:rPr>
                <w:rFonts w:ascii="Times New Roman" w:hAnsi="Times New Roman"/>
                <w:color w:val="000000"/>
                <w:kern w:val="0"/>
                <w:sz w:val="18"/>
                <w:szCs w:val="18"/>
                <w:vertAlign w:val="superscript"/>
              </w:rPr>
              <w:t>b</w:t>
            </w:r>
          </w:p>
        </w:tc>
        <w:tc>
          <w:tcPr>
            <w:tcW w:w="2103" w:type="dxa"/>
            <w:vMerge w:val="restart"/>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98</w:t>
            </w:r>
            <w:r>
              <w:rPr>
                <w:rFonts w:ascii="Times New Roman" w:hAnsi="Times New Roman"/>
                <w:color w:val="000000"/>
                <w:kern w:val="0"/>
                <w:sz w:val="18"/>
                <w:szCs w:val="18"/>
                <w:vertAlign w:val="superscript"/>
              </w:rPr>
              <w:t>b</w:t>
            </w: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燃料油</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t</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41.816</w:t>
            </w:r>
            <w:r>
              <w:rPr>
                <w:rFonts w:ascii="Times New Roman" w:hAnsi="Times New Roman"/>
                <w:color w:val="000000"/>
                <w:kern w:val="0"/>
                <w:sz w:val="18"/>
                <w:szCs w:val="18"/>
                <w:vertAlign w:val="superscript"/>
              </w:rPr>
              <w:t>a</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0.0211</w:t>
            </w:r>
            <w:r>
              <w:rPr>
                <w:rFonts w:ascii="Times New Roman" w:hAnsi="Times New Roman"/>
                <w:color w:val="000000"/>
                <w:kern w:val="0"/>
                <w:sz w:val="18"/>
                <w:szCs w:val="18"/>
                <w:vertAlign w:val="superscript"/>
              </w:rPr>
              <w:t>b</w:t>
            </w:r>
          </w:p>
        </w:tc>
        <w:tc>
          <w:tcPr>
            <w:tcW w:w="2103" w:type="dxa"/>
            <w:vMerge w:val="continue"/>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left"/>
              <w:rPr>
                <w:rFonts w:ascii="Times New Roman" w:hAnsi="Times New Roman"/>
                <w:color w:val="000000"/>
                <w:kern w:val="0"/>
                <w:sz w:val="18"/>
                <w:szCs w:val="18"/>
              </w:rPr>
            </w:pP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汽油</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t</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43.07</w:t>
            </w:r>
            <w:r>
              <w:rPr>
                <w:rFonts w:ascii="Times New Roman" w:hAnsi="Times New Roman"/>
                <w:color w:val="000000"/>
                <w:kern w:val="0"/>
                <w:sz w:val="18"/>
                <w:szCs w:val="18"/>
                <w:vertAlign w:val="superscript"/>
              </w:rPr>
              <w:t>a</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0.0189</w:t>
            </w:r>
            <w:r>
              <w:rPr>
                <w:rFonts w:ascii="Times New Roman" w:hAnsi="Times New Roman"/>
                <w:color w:val="000000"/>
                <w:kern w:val="0"/>
                <w:sz w:val="18"/>
                <w:szCs w:val="18"/>
                <w:vertAlign w:val="superscript"/>
              </w:rPr>
              <w:t>b</w:t>
            </w:r>
          </w:p>
        </w:tc>
        <w:tc>
          <w:tcPr>
            <w:tcW w:w="2103" w:type="dxa"/>
            <w:vMerge w:val="continue"/>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left"/>
              <w:rPr>
                <w:rFonts w:ascii="Times New Roman" w:hAnsi="Times New Roman"/>
                <w:color w:val="000000"/>
                <w:kern w:val="0"/>
                <w:sz w:val="18"/>
                <w:szCs w:val="18"/>
              </w:rPr>
            </w:pP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煤油</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t</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43.07</w:t>
            </w:r>
            <w:r>
              <w:rPr>
                <w:rFonts w:ascii="Times New Roman" w:hAnsi="Times New Roman"/>
                <w:color w:val="000000"/>
                <w:kern w:val="0"/>
                <w:sz w:val="18"/>
                <w:szCs w:val="18"/>
                <w:vertAlign w:val="superscript"/>
              </w:rPr>
              <w:t>a</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0.0196</w:t>
            </w:r>
            <w:r>
              <w:rPr>
                <w:rFonts w:ascii="Times New Roman" w:hAnsi="Times New Roman"/>
                <w:color w:val="000000"/>
                <w:kern w:val="0"/>
                <w:sz w:val="18"/>
                <w:szCs w:val="18"/>
                <w:vertAlign w:val="superscript"/>
              </w:rPr>
              <w:t>b</w:t>
            </w:r>
          </w:p>
        </w:tc>
        <w:tc>
          <w:tcPr>
            <w:tcW w:w="2103" w:type="dxa"/>
            <w:vMerge w:val="continue"/>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left"/>
              <w:rPr>
                <w:rFonts w:ascii="Times New Roman" w:hAnsi="Times New Roman"/>
                <w:color w:val="000000"/>
                <w:kern w:val="0"/>
                <w:sz w:val="18"/>
                <w:szCs w:val="18"/>
              </w:rPr>
            </w:pPr>
          </w:p>
        </w:tc>
      </w:tr>
      <w:tr>
        <w:tblPrEx>
          <w:tblLayout w:type="fixed"/>
          <w:tblCellMar>
            <w:top w:w="0" w:type="dxa"/>
            <w:left w:w="108" w:type="dxa"/>
            <w:bottom w:w="0" w:type="dxa"/>
            <w:right w:w="108" w:type="dxa"/>
          </w:tblCellMar>
        </w:tblPrEx>
        <w:trPr>
          <w:trHeight w:val="376"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柴油</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t</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42.652</w:t>
            </w:r>
            <w:r>
              <w:rPr>
                <w:rFonts w:ascii="Times New Roman" w:hAnsi="Times New Roman"/>
                <w:color w:val="000000"/>
                <w:kern w:val="0"/>
                <w:sz w:val="18"/>
                <w:szCs w:val="18"/>
                <w:vertAlign w:val="superscript"/>
              </w:rPr>
              <w:t>a</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0.0202</w:t>
            </w:r>
            <w:r>
              <w:rPr>
                <w:rFonts w:ascii="Times New Roman" w:hAnsi="Times New Roman"/>
                <w:color w:val="000000"/>
                <w:kern w:val="0"/>
                <w:sz w:val="18"/>
                <w:szCs w:val="18"/>
                <w:vertAlign w:val="superscript"/>
              </w:rPr>
              <w:t>b</w:t>
            </w:r>
          </w:p>
        </w:tc>
        <w:tc>
          <w:tcPr>
            <w:tcW w:w="2103" w:type="dxa"/>
            <w:vMerge w:val="continue"/>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left"/>
              <w:rPr>
                <w:rFonts w:ascii="Times New Roman" w:hAnsi="Times New Roman"/>
                <w:color w:val="000000"/>
                <w:kern w:val="0"/>
                <w:sz w:val="18"/>
                <w:szCs w:val="18"/>
              </w:rPr>
            </w:pP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液化石油气</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t</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50.179</w:t>
            </w:r>
            <w:r>
              <w:rPr>
                <w:rFonts w:ascii="Times New Roman" w:hAnsi="Times New Roman"/>
                <w:color w:val="000000"/>
                <w:kern w:val="0"/>
                <w:sz w:val="18"/>
                <w:szCs w:val="18"/>
                <w:vertAlign w:val="superscript"/>
              </w:rPr>
              <w:t>a</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0.0172</w:t>
            </w:r>
            <w:r>
              <w:rPr>
                <w:rFonts w:ascii="Times New Roman" w:hAnsi="Times New Roman"/>
                <w:color w:val="000000"/>
                <w:kern w:val="0"/>
                <w:sz w:val="18"/>
                <w:szCs w:val="18"/>
                <w:vertAlign w:val="superscript"/>
              </w:rPr>
              <w:t>c</w:t>
            </w:r>
          </w:p>
        </w:tc>
        <w:tc>
          <w:tcPr>
            <w:tcW w:w="2103" w:type="dxa"/>
            <w:vMerge w:val="continue"/>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left"/>
              <w:rPr>
                <w:rFonts w:ascii="Times New Roman" w:hAnsi="Times New Roman"/>
                <w:color w:val="000000"/>
                <w:kern w:val="0"/>
                <w:sz w:val="18"/>
                <w:szCs w:val="18"/>
              </w:rPr>
            </w:pP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炼厂干气</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t</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45.998</w:t>
            </w:r>
            <w:r>
              <w:rPr>
                <w:rFonts w:ascii="Times New Roman" w:hAnsi="Times New Roman"/>
                <w:color w:val="000000"/>
                <w:kern w:val="0"/>
                <w:sz w:val="18"/>
                <w:szCs w:val="18"/>
                <w:vertAlign w:val="superscript"/>
              </w:rPr>
              <w:t>a</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0.0182</w:t>
            </w:r>
            <w:r>
              <w:rPr>
                <w:rFonts w:ascii="Times New Roman" w:hAnsi="Times New Roman"/>
                <w:color w:val="000000"/>
                <w:kern w:val="0"/>
                <w:sz w:val="18"/>
                <w:szCs w:val="18"/>
                <w:vertAlign w:val="superscript"/>
              </w:rPr>
              <w:t>b</w:t>
            </w:r>
          </w:p>
        </w:tc>
        <w:tc>
          <w:tcPr>
            <w:tcW w:w="2103" w:type="dxa"/>
            <w:vMerge w:val="continue"/>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left"/>
              <w:rPr>
                <w:rFonts w:ascii="Times New Roman" w:hAnsi="Times New Roman"/>
                <w:color w:val="000000"/>
                <w:kern w:val="0"/>
                <w:sz w:val="18"/>
                <w:szCs w:val="18"/>
              </w:rPr>
            </w:pP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液化天然气</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t</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41.868</w:t>
            </w:r>
            <w:r>
              <w:rPr>
                <w:rFonts w:ascii="Times New Roman" w:hAnsi="Times New Roman"/>
                <w:color w:val="000000"/>
                <w:kern w:val="0"/>
                <w:sz w:val="18"/>
                <w:szCs w:val="18"/>
                <w:vertAlign w:val="superscript"/>
              </w:rPr>
              <w:t>d</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0.0172</w:t>
            </w:r>
            <w:r>
              <w:rPr>
                <w:rFonts w:ascii="Times New Roman" w:hAnsi="Times New Roman"/>
                <w:color w:val="000000"/>
                <w:kern w:val="0"/>
                <w:sz w:val="18"/>
                <w:szCs w:val="18"/>
                <w:vertAlign w:val="superscript"/>
              </w:rPr>
              <w:t>d</w:t>
            </w:r>
          </w:p>
        </w:tc>
        <w:tc>
          <w:tcPr>
            <w:tcW w:w="2103" w:type="dxa"/>
            <w:tcBorders>
              <w:top w:val="single" w:color="000000" w:sz="4" w:space="0"/>
              <w:left w:val="single" w:color="000000" w:sz="4" w:space="0"/>
              <w:bottom w:val="nil"/>
              <w:right w:val="single" w:color="000000" w:sz="4" w:space="0"/>
            </w:tcBorders>
            <w:vAlign w:val="center"/>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99</w:t>
            </w:r>
            <w:r>
              <w:rPr>
                <w:rFonts w:ascii="Times New Roman" w:hAnsi="Times New Roman"/>
                <w:color w:val="000000"/>
                <w:kern w:val="0"/>
                <w:sz w:val="18"/>
                <w:szCs w:val="18"/>
                <w:vertAlign w:val="superscript"/>
              </w:rPr>
              <w:t>d</w:t>
            </w: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天然气</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10</w:t>
            </w:r>
            <w:r>
              <w:rPr>
                <w:rFonts w:ascii="Times New Roman" w:hAnsi="Times New Roman"/>
                <w:color w:val="000000"/>
                <w:kern w:val="0"/>
                <w:sz w:val="18"/>
                <w:szCs w:val="18"/>
                <w:vertAlign w:val="superscript"/>
              </w:rPr>
              <w:t>4</w:t>
            </w:r>
            <w:r>
              <w:rPr>
                <w:rFonts w:ascii="Times New Roman" w:hAnsi="Times New Roman"/>
                <w:color w:val="000000"/>
                <w:kern w:val="0"/>
                <w:sz w:val="18"/>
                <w:szCs w:val="18"/>
              </w:rPr>
              <w:t>Nm</w:t>
            </w:r>
            <w:r>
              <w:rPr>
                <w:rFonts w:ascii="Times New Roman" w:hAnsi="Times New Roman"/>
                <w:color w:val="000000"/>
                <w:kern w:val="0"/>
                <w:sz w:val="18"/>
                <w:szCs w:val="18"/>
                <w:vertAlign w:val="superscript"/>
              </w:rPr>
              <w:t>3</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389.31</w:t>
            </w:r>
            <w:r>
              <w:rPr>
                <w:rFonts w:ascii="Times New Roman" w:hAnsi="Times New Roman"/>
                <w:color w:val="000000"/>
                <w:kern w:val="0"/>
                <w:sz w:val="18"/>
                <w:szCs w:val="18"/>
                <w:vertAlign w:val="superscript"/>
              </w:rPr>
              <w:t>a</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0.01532</w:t>
            </w:r>
            <w:r>
              <w:rPr>
                <w:rFonts w:ascii="Times New Roman" w:hAnsi="Times New Roman"/>
                <w:color w:val="000000"/>
                <w:kern w:val="0"/>
                <w:sz w:val="18"/>
                <w:szCs w:val="18"/>
                <w:vertAlign w:val="superscript"/>
              </w:rPr>
              <w:t>b</w:t>
            </w:r>
          </w:p>
        </w:tc>
        <w:tc>
          <w:tcPr>
            <w:tcW w:w="2103" w:type="dxa"/>
            <w:vMerge w:val="restart"/>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99</w:t>
            </w:r>
            <w:r>
              <w:rPr>
                <w:rFonts w:ascii="Times New Roman" w:hAnsi="Times New Roman"/>
                <w:color w:val="000000"/>
                <w:kern w:val="0"/>
                <w:sz w:val="18"/>
                <w:szCs w:val="18"/>
                <w:vertAlign w:val="superscript"/>
              </w:rPr>
              <w:t>b</w:t>
            </w: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焦炉煤气</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10</w:t>
            </w:r>
            <w:r>
              <w:rPr>
                <w:rFonts w:ascii="Times New Roman" w:hAnsi="Times New Roman"/>
                <w:color w:val="000000"/>
                <w:kern w:val="0"/>
                <w:sz w:val="18"/>
                <w:szCs w:val="18"/>
                <w:vertAlign w:val="superscript"/>
              </w:rPr>
              <w:t>4</w:t>
            </w:r>
            <w:r>
              <w:rPr>
                <w:rFonts w:ascii="Times New Roman" w:hAnsi="Times New Roman"/>
                <w:color w:val="000000"/>
                <w:kern w:val="0"/>
                <w:sz w:val="18"/>
                <w:szCs w:val="18"/>
              </w:rPr>
              <w:t>Nm</w:t>
            </w:r>
            <w:r>
              <w:rPr>
                <w:rFonts w:ascii="Times New Roman" w:hAnsi="Times New Roman"/>
                <w:color w:val="000000"/>
                <w:kern w:val="0"/>
                <w:sz w:val="18"/>
                <w:szCs w:val="18"/>
                <w:vertAlign w:val="superscript"/>
              </w:rPr>
              <w:t>3</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173.54</w:t>
            </w:r>
            <w:r>
              <w:rPr>
                <w:rFonts w:ascii="Times New Roman" w:hAnsi="Times New Roman"/>
                <w:color w:val="000000"/>
                <w:kern w:val="0"/>
                <w:sz w:val="18"/>
                <w:szCs w:val="18"/>
                <w:vertAlign w:val="superscript"/>
              </w:rPr>
              <w:t>e</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0.0121</w:t>
            </w:r>
            <w:r>
              <w:rPr>
                <w:rFonts w:ascii="Times New Roman" w:hAnsi="Times New Roman"/>
                <w:color w:val="000000"/>
                <w:kern w:val="0"/>
                <w:sz w:val="18"/>
                <w:szCs w:val="18"/>
                <w:vertAlign w:val="superscript"/>
              </w:rPr>
              <w:t>c</w:t>
            </w:r>
          </w:p>
        </w:tc>
        <w:tc>
          <w:tcPr>
            <w:tcW w:w="2103" w:type="dxa"/>
            <w:vMerge w:val="continue"/>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left"/>
              <w:rPr>
                <w:rFonts w:ascii="Times New Roman" w:hAnsi="Times New Roman"/>
                <w:color w:val="000000"/>
                <w:kern w:val="0"/>
                <w:sz w:val="18"/>
                <w:szCs w:val="18"/>
              </w:rPr>
            </w:pP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高炉煤气</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10</w:t>
            </w:r>
            <w:r>
              <w:rPr>
                <w:rFonts w:ascii="Times New Roman" w:hAnsi="Times New Roman"/>
                <w:color w:val="000000"/>
                <w:kern w:val="0"/>
                <w:sz w:val="18"/>
                <w:szCs w:val="18"/>
                <w:vertAlign w:val="superscript"/>
              </w:rPr>
              <w:t>4</w:t>
            </w:r>
            <w:r>
              <w:rPr>
                <w:rFonts w:ascii="Times New Roman" w:hAnsi="Times New Roman"/>
                <w:color w:val="000000"/>
                <w:kern w:val="0"/>
                <w:sz w:val="18"/>
                <w:szCs w:val="18"/>
              </w:rPr>
              <w:t>Nm</w:t>
            </w:r>
            <w:r>
              <w:rPr>
                <w:rFonts w:ascii="Times New Roman" w:hAnsi="Times New Roman"/>
                <w:color w:val="000000"/>
                <w:kern w:val="0"/>
                <w:sz w:val="18"/>
                <w:szCs w:val="18"/>
                <w:vertAlign w:val="superscript"/>
              </w:rPr>
              <w:t>3</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33.00</w:t>
            </w:r>
            <w:r>
              <w:rPr>
                <w:rFonts w:ascii="Times New Roman" w:hAnsi="Times New Roman"/>
                <w:color w:val="000000"/>
                <w:kern w:val="0"/>
                <w:sz w:val="18"/>
                <w:szCs w:val="18"/>
                <w:vertAlign w:val="superscript"/>
              </w:rPr>
              <w:t>e</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0.0708</w:t>
            </w:r>
            <w:r>
              <w:rPr>
                <w:rFonts w:ascii="Times New Roman" w:hAnsi="Times New Roman"/>
                <w:color w:val="000000"/>
                <w:kern w:val="0"/>
                <w:sz w:val="18"/>
                <w:szCs w:val="18"/>
                <w:vertAlign w:val="superscript"/>
              </w:rPr>
              <w:t>c</w:t>
            </w:r>
          </w:p>
        </w:tc>
        <w:tc>
          <w:tcPr>
            <w:tcW w:w="2103" w:type="dxa"/>
            <w:vMerge w:val="continue"/>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left"/>
              <w:rPr>
                <w:rFonts w:ascii="Times New Roman" w:hAnsi="Times New Roman"/>
                <w:color w:val="000000"/>
                <w:kern w:val="0"/>
                <w:sz w:val="18"/>
                <w:szCs w:val="18"/>
              </w:rPr>
            </w:pP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转炉煤气</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10</w:t>
            </w:r>
            <w:r>
              <w:rPr>
                <w:rFonts w:ascii="Times New Roman" w:hAnsi="Times New Roman"/>
                <w:color w:val="000000"/>
                <w:kern w:val="0"/>
                <w:sz w:val="18"/>
                <w:szCs w:val="18"/>
                <w:vertAlign w:val="superscript"/>
              </w:rPr>
              <w:t>4</w:t>
            </w:r>
            <w:r>
              <w:rPr>
                <w:rFonts w:ascii="Times New Roman" w:hAnsi="Times New Roman"/>
                <w:color w:val="000000"/>
                <w:kern w:val="0"/>
                <w:sz w:val="18"/>
                <w:szCs w:val="18"/>
              </w:rPr>
              <w:t>Nm</w:t>
            </w:r>
            <w:r>
              <w:rPr>
                <w:rFonts w:ascii="Times New Roman" w:hAnsi="Times New Roman"/>
                <w:color w:val="000000"/>
                <w:kern w:val="0"/>
                <w:sz w:val="18"/>
                <w:szCs w:val="18"/>
                <w:vertAlign w:val="superscript"/>
              </w:rPr>
              <w:t>3</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84.00</w:t>
            </w:r>
            <w:r>
              <w:rPr>
                <w:rFonts w:ascii="Times New Roman" w:hAnsi="Times New Roman"/>
                <w:color w:val="000000"/>
                <w:kern w:val="0"/>
                <w:sz w:val="18"/>
                <w:szCs w:val="18"/>
                <w:vertAlign w:val="superscript"/>
              </w:rPr>
              <w:t>e</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0.0496</w:t>
            </w:r>
            <w:r>
              <w:rPr>
                <w:rFonts w:ascii="Times New Roman" w:hAnsi="Times New Roman"/>
                <w:color w:val="000000"/>
                <w:kern w:val="0"/>
                <w:sz w:val="18"/>
                <w:szCs w:val="18"/>
                <w:vertAlign w:val="superscript"/>
              </w:rPr>
              <w:t>c</w:t>
            </w:r>
          </w:p>
        </w:tc>
        <w:tc>
          <w:tcPr>
            <w:tcW w:w="2103" w:type="dxa"/>
            <w:vMerge w:val="continue"/>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left"/>
              <w:rPr>
                <w:rFonts w:ascii="Times New Roman" w:hAnsi="Times New Roman"/>
                <w:color w:val="000000"/>
                <w:kern w:val="0"/>
                <w:sz w:val="18"/>
                <w:szCs w:val="18"/>
              </w:rPr>
            </w:pPr>
          </w:p>
        </w:tc>
      </w:tr>
      <w:tr>
        <w:tblPrEx>
          <w:tblLayout w:type="fixed"/>
          <w:tblCellMar>
            <w:top w:w="0" w:type="dxa"/>
            <w:left w:w="108" w:type="dxa"/>
            <w:bottom w:w="0" w:type="dxa"/>
            <w:right w:w="108" w:type="dxa"/>
          </w:tblCellMar>
        </w:tblPrEx>
        <w:trPr>
          <w:trHeight w:val="224" w:hRule="atLeast"/>
        </w:trPr>
        <w:tc>
          <w:tcPr>
            <w:tcW w:w="1912"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其它煤气</w:t>
            </w:r>
          </w:p>
        </w:tc>
        <w:tc>
          <w:tcPr>
            <w:tcW w:w="166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10</w:t>
            </w:r>
            <w:r>
              <w:rPr>
                <w:rFonts w:ascii="Times New Roman" w:hAnsi="Times New Roman"/>
                <w:color w:val="000000"/>
                <w:kern w:val="0"/>
                <w:sz w:val="18"/>
                <w:szCs w:val="18"/>
                <w:vertAlign w:val="superscript"/>
              </w:rPr>
              <w:t>4</w:t>
            </w:r>
            <w:r>
              <w:rPr>
                <w:rFonts w:ascii="Times New Roman" w:hAnsi="Times New Roman"/>
                <w:color w:val="000000"/>
                <w:kern w:val="0"/>
                <w:sz w:val="18"/>
                <w:szCs w:val="18"/>
              </w:rPr>
              <w:t>Nm</w:t>
            </w:r>
            <w:r>
              <w:rPr>
                <w:rFonts w:ascii="Times New Roman" w:hAnsi="Times New Roman"/>
                <w:color w:val="000000"/>
                <w:kern w:val="0"/>
                <w:sz w:val="18"/>
                <w:szCs w:val="18"/>
                <w:vertAlign w:val="superscript"/>
              </w:rPr>
              <w:t>3</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52.27</w:t>
            </w:r>
            <w:r>
              <w:rPr>
                <w:rFonts w:ascii="Times New Roman" w:hAnsi="Times New Roman"/>
                <w:color w:val="000000"/>
                <w:kern w:val="0"/>
                <w:sz w:val="18"/>
                <w:szCs w:val="18"/>
                <w:vertAlign w:val="superscript"/>
              </w:rPr>
              <w:t>a</w:t>
            </w:r>
          </w:p>
        </w:tc>
        <w:tc>
          <w:tcPr>
            <w:tcW w:w="1945" w:type="dxa"/>
            <w:tcBorders>
              <w:top w:val="single" w:color="000000" w:sz="4" w:space="0"/>
              <w:left w:val="single" w:color="000000" w:sz="4" w:space="0"/>
              <w:bottom w:val="single" w:color="000000" w:sz="4" w:space="0"/>
              <w:right w:val="single" w:color="000000" w:sz="4" w:space="0"/>
            </w:tcBorders>
          </w:tcPr>
          <w:p>
            <w:pPr>
              <w:widowControl/>
              <w:adjustRightInd/>
              <w:spacing w:line="240" w:lineRule="auto"/>
              <w:jc w:val="center"/>
              <w:rPr>
                <w:rFonts w:ascii="Times New Roman" w:hAnsi="Times New Roman"/>
                <w:color w:val="000000"/>
                <w:kern w:val="0"/>
                <w:sz w:val="18"/>
                <w:szCs w:val="18"/>
              </w:rPr>
            </w:pPr>
            <w:r>
              <w:rPr>
                <w:rFonts w:ascii="Times New Roman" w:hAnsi="Times New Roman"/>
                <w:color w:val="000000"/>
                <w:kern w:val="0"/>
                <w:sz w:val="18"/>
                <w:szCs w:val="18"/>
              </w:rPr>
              <w:t>0.0122</w:t>
            </w:r>
            <w:r>
              <w:rPr>
                <w:rFonts w:ascii="Times New Roman" w:hAnsi="Times New Roman"/>
                <w:color w:val="000000"/>
                <w:kern w:val="0"/>
                <w:sz w:val="18"/>
                <w:szCs w:val="18"/>
                <w:vertAlign w:val="superscript"/>
              </w:rPr>
              <w:t>c</w:t>
            </w:r>
          </w:p>
        </w:tc>
        <w:tc>
          <w:tcPr>
            <w:tcW w:w="2103" w:type="dxa"/>
            <w:vMerge w:val="continue"/>
            <w:tcBorders>
              <w:top w:val="single" w:color="000000" w:sz="4" w:space="0"/>
              <w:left w:val="single" w:color="000000" w:sz="4" w:space="0"/>
              <w:bottom w:val="single" w:color="000000" w:sz="4" w:space="0"/>
              <w:right w:val="single" w:color="000000" w:sz="4" w:space="0"/>
            </w:tcBorders>
            <w:vAlign w:val="center"/>
          </w:tcPr>
          <w:p>
            <w:pPr>
              <w:widowControl/>
              <w:adjustRightInd/>
              <w:spacing w:line="240" w:lineRule="auto"/>
              <w:jc w:val="left"/>
              <w:rPr>
                <w:rFonts w:ascii="Times New Roman" w:hAnsi="Times New Roman"/>
                <w:color w:val="000000"/>
                <w:kern w:val="0"/>
                <w:sz w:val="18"/>
                <w:szCs w:val="18"/>
              </w:rPr>
            </w:pPr>
          </w:p>
        </w:tc>
      </w:tr>
      <w:tr>
        <w:tblPrEx>
          <w:tblLayout w:type="fixed"/>
          <w:tblCellMar>
            <w:top w:w="0" w:type="dxa"/>
            <w:left w:w="108" w:type="dxa"/>
            <w:bottom w:w="0" w:type="dxa"/>
            <w:right w:w="108" w:type="dxa"/>
          </w:tblCellMar>
        </w:tblPrEx>
        <w:trPr>
          <w:trHeight w:val="417" w:hRule="atLeast"/>
        </w:trPr>
        <w:tc>
          <w:tcPr>
            <w:tcW w:w="9570" w:type="dxa"/>
            <w:gridSpan w:val="5"/>
            <w:tcBorders>
              <w:top w:val="single" w:color="000000" w:sz="4" w:space="0"/>
              <w:left w:val="single" w:color="000000" w:sz="4" w:space="0"/>
              <w:bottom w:val="single" w:color="000000" w:sz="8" w:space="0"/>
              <w:right w:val="single" w:color="000000" w:sz="4" w:space="0"/>
            </w:tcBorders>
          </w:tcPr>
          <w:p>
            <w:pPr>
              <w:widowControl/>
              <w:adjustRightInd/>
              <w:spacing w:line="240" w:lineRule="auto"/>
              <w:jc w:val="left"/>
              <w:rPr>
                <w:rFonts w:ascii="Times New Roman" w:hAnsi="Times New Roman"/>
                <w:color w:val="000000"/>
                <w:kern w:val="0"/>
                <w:sz w:val="18"/>
                <w:szCs w:val="18"/>
              </w:rPr>
            </w:pPr>
            <w:r>
              <w:rPr>
                <w:rFonts w:ascii="Times New Roman" w:hAnsi="Times New Roman"/>
                <w:color w:val="000000"/>
                <w:kern w:val="0"/>
                <w:sz w:val="18"/>
                <w:szCs w:val="18"/>
                <w:vertAlign w:val="superscript"/>
              </w:rPr>
              <w:t>a</w:t>
            </w:r>
            <w:r>
              <w:rPr>
                <w:rFonts w:ascii="Times New Roman" w:hAnsi="Times New Roman"/>
                <w:color w:val="000000"/>
                <w:kern w:val="0"/>
                <w:sz w:val="18"/>
                <w:szCs w:val="18"/>
              </w:rPr>
              <w:t>数据取值来源为《中国能源统计年鉴2019》</w:t>
            </w:r>
            <w:r>
              <w:rPr>
                <w:rFonts w:ascii="Times New Roman" w:hAnsi="Times New Roman"/>
                <w:color w:val="000000"/>
                <w:kern w:val="0"/>
                <w:sz w:val="18"/>
                <w:szCs w:val="18"/>
              </w:rPr>
              <w:br w:type="textWrapping"/>
            </w:r>
            <w:r>
              <w:rPr>
                <w:rFonts w:ascii="Times New Roman" w:hAnsi="Times New Roman"/>
                <w:color w:val="000000"/>
                <w:kern w:val="0"/>
                <w:sz w:val="18"/>
                <w:szCs w:val="18"/>
                <w:vertAlign w:val="superscript"/>
              </w:rPr>
              <w:t>b</w:t>
            </w:r>
            <w:r>
              <w:rPr>
                <w:rFonts w:ascii="Times New Roman" w:hAnsi="Times New Roman"/>
                <w:color w:val="000000"/>
                <w:kern w:val="0"/>
                <w:sz w:val="18"/>
                <w:szCs w:val="18"/>
              </w:rPr>
              <w:t>数据取值来源为《省级温室气体清单编制指南（试行)》</w:t>
            </w:r>
            <w:r>
              <w:rPr>
                <w:rFonts w:ascii="Times New Roman" w:hAnsi="Times New Roman"/>
                <w:color w:val="000000"/>
                <w:kern w:val="0"/>
                <w:sz w:val="18"/>
                <w:szCs w:val="18"/>
              </w:rPr>
              <w:br w:type="textWrapping"/>
            </w:r>
            <w:r>
              <w:rPr>
                <w:rFonts w:ascii="Times New Roman" w:hAnsi="Times New Roman"/>
                <w:color w:val="000000"/>
                <w:kern w:val="0"/>
                <w:sz w:val="18"/>
                <w:szCs w:val="18"/>
                <w:vertAlign w:val="superscript"/>
              </w:rPr>
              <w:t>c</w:t>
            </w:r>
            <w:r>
              <w:rPr>
                <w:rFonts w:ascii="Times New Roman" w:hAnsi="Times New Roman"/>
                <w:color w:val="000000"/>
                <w:kern w:val="0"/>
                <w:sz w:val="18"/>
                <w:szCs w:val="18"/>
              </w:rPr>
              <w:t>数据取值来源为《2006年IPCC国家温室气体清单指南》</w:t>
            </w:r>
            <w:r>
              <w:rPr>
                <w:rFonts w:ascii="Times New Roman" w:hAnsi="Times New Roman"/>
                <w:color w:val="000000"/>
                <w:kern w:val="0"/>
                <w:sz w:val="18"/>
                <w:szCs w:val="18"/>
              </w:rPr>
              <w:br w:type="textWrapping"/>
            </w:r>
            <w:r>
              <w:rPr>
                <w:rFonts w:ascii="Times New Roman" w:hAnsi="Times New Roman"/>
                <w:color w:val="000000"/>
                <w:kern w:val="0"/>
                <w:sz w:val="18"/>
                <w:szCs w:val="18"/>
                <w:vertAlign w:val="superscript"/>
              </w:rPr>
              <w:t>d</w:t>
            </w:r>
            <w:r>
              <w:rPr>
                <w:rFonts w:ascii="Times New Roman" w:hAnsi="Times New Roman"/>
                <w:color w:val="000000"/>
                <w:kern w:val="0"/>
                <w:sz w:val="18"/>
                <w:szCs w:val="18"/>
              </w:rPr>
              <w:t>数据取值来源为《中国煤炭生产企业温室气体排放核算方法与报告指南（试行）》</w:t>
            </w:r>
          </w:p>
          <w:p>
            <w:pPr>
              <w:widowControl/>
              <w:adjustRightInd/>
              <w:spacing w:line="240" w:lineRule="auto"/>
              <w:jc w:val="left"/>
              <w:rPr>
                <w:rFonts w:ascii="Times New Roman" w:hAnsi="Times New Roman"/>
                <w:color w:val="000000"/>
                <w:kern w:val="0"/>
                <w:sz w:val="18"/>
                <w:szCs w:val="18"/>
              </w:rPr>
            </w:pPr>
            <w:r>
              <w:rPr>
                <w:rFonts w:ascii="Times New Roman" w:hAnsi="Times New Roman"/>
                <w:color w:val="000000"/>
                <w:kern w:val="0"/>
                <w:sz w:val="18"/>
                <w:szCs w:val="18"/>
                <w:vertAlign w:val="superscript"/>
              </w:rPr>
              <w:t>e</w:t>
            </w:r>
            <w:r>
              <w:rPr>
                <w:rFonts w:ascii="Times New Roman" w:hAnsi="Times New Roman"/>
                <w:color w:val="000000"/>
                <w:kern w:val="0"/>
                <w:sz w:val="18"/>
                <w:szCs w:val="18"/>
              </w:rPr>
              <w:t>数据取值来源为《中国温室气体清单研究》</w:t>
            </w:r>
          </w:p>
        </w:tc>
      </w:tr>
    </w:tbl>
    <w:p>
      <w:pPr>
        <w:pStyle w:val="66"/>
        <w:spacing w:before="156" w:after="156"/>
        <w:rPr>
          <w:rFonts w:ascii="Times New Roman"/>
        </w:rPr>
      </w:pPr>
      <w:r>
        <w:rPr>
          <w:rFonts w:ascii="Times New Roman"/>
        </w:rPr>
        <w:t>电力热力消费</w:t>
      </w:r>
    </w:p>
    <w:p>
      <w:pPr>
        <w:pStyle w:val="57"/>
        <w:ind w:firstLine="420"/>
        <w:rPr>
          <w:rFonts w:ascii="Times New Roman"/>
        </w:rPr>
      </w:pPr>
      <w:r>
        <w:rPr>
          <w:rFonts w:ascii="Times New Roman"/>
        </w:rPr>
        <w:t>电力、热力消费的排放因子推荐值见表2。</w:t>
      </w:r>
    </w:p>
    <w:p>
      <w:pPr>
        <w:pStyle w:val="113"/>
        <w:spacing w:before="156" w:after="156"/>
        <w:rPr>
          <w:rFonts w:ascii="Times New Roman"/>
        </w:rPr>
      </w:pPr>
      <w:r>
        <w:rPr>
          <w:rFonts w:ascii="Times New Roman"/>
        </w:rPr>
        <w:t>电力、热力的排放因子推荐值表</w:t>
      </w:r>
    </w:p>
    <w:tbl>
      <w:tblPr>
        <w:tblStyle w:val="34"/>
        <w:tblW w:w="95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88"/>
        <w:gridCol w:w="3189"/>
        <w:gridCol w:w="31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trPr>
        <w:tc>
          <w:tcPr>
            <w:tcW w:w="3188" w:type="dxa"/>
          </w:tcPr>
          <w:p>
            <w:pPr>
              <w:rPr>
                <w:rFonts w:ascii="Times New Roman" w:hAnsi="Times New Roman"/>
                <w:sz w:val="18"/>
                <w:szCs w:val="18"/>
              </w:rPr>
            </w:pPr>
            <w:r>
              <w:rPr>
                <w:rFonts w:ascii="Times New Roman" w:hAnsi="Times New Roman"/>
                <w:sz w:val="18"/>
                <w:szCs w:val="18"/>
              </w:rPr>
              <w:t>名称</w:t>
            </w:r>
          </w:p>
        </w:tc>
        <w:tc>
          <w:tcPr>
            <w:tcW w:w="3189" w:type="dxa"/>
          </w:tcPr>
          <w:p>
            <w:pPr>
              <w:rPr>
                <w:rFonts w:ascii="Times New Roman" w:hAnsi="Times New Roman"/>
                <w:sz w:val="18"/>
                <w:szCs w:val="18"/>
              </w:rPr>
            </w:pPr>
            <w:r>
              <w:rPr>
                <w:rFonts w:ascii="Times New Roman" w:hAnsi="Times New Roman"/>
                <w:sz w:val="18"/>
                <w:szCs w:val="18"/>
              </w:rPr>
              <w:t>单位</w:t>
            </w:r>
          </w:p>
        </w:tc>
        <w:tc>
          <w:tcPr>
            <w:tcW w:w="3193" w:type="dxa"/>
          </w:tcPr>
          <w:p>
            <w:pPr>
              <w:rPr>
                <w:rFonts w:ascii="Times New Roman" w:hAnsi="Times New Roman"/>
                <w:sz w:val="18"/>
                <w:szCs w:val="18"/>
              </w:rPr>
            </w:pPr>
            <w:r>
              <w:rPr>
                <w:rFonts w:ascii="Times New Roman" w:hAnsi="Times New Roman"/>
                <w:sz w:val="18"/>
                <w:szCs w:val="18"/>
              </w:rPr>
              <w:t>推荐值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9" w:hRule="atLeast"/>
        </w:trPr>
        <w:tc>
          <w:tcPr>
            <w:tcW w:w="3188" w:type="dxa"/>
          </w:tcPr>
          <w:p>
            <w:pPr>
              <w:rPr>
                <w:rFonts w:ascii="Times New Roman" w:hAnsi="Times New Roman"/>
                <w:sz w:val="18"/>
                <w:szCs w:val="18"/>
              </w:rPr>
            </w:pPr>
            <w:r>
              <w:rPr>
                <w:rFonts w:ascii="Times New Roman" w:hAnsi="Times New Roman"/>
                <w:sz w:val="18"/>
                <w:szCs w:val="18"/>
              </w:rPr>
              <w:t>电网供电排放因子</w:t>
            </w:r>
          </w:p>
        </w:tc>
        <w:tc>
          <w:tcPr>
            <w:tcW w:w="3189" w:type="dxa"/>
          </w:tcPr>
          <w:p>
            <w:pPr>
              <w:textAlignment w:val="center"/>
              <w:rPr>
                <w:rFonts w:ascii="Times New Roman" w:hAnsi="Times New Roman"/>
                <w:sz w:val="18"/>
                <w:szCs w:val="18"/>
              </w:rPr>
            </w:pPr>
            <w:r>
              <w:rPr>
                <w:rFonts w:ascii="Times New Roman" w:hAnsi="Times New Roman"/>
                <w:sz w:val="18"/>
                <w:szCs w:val="18"/>
              </w:rPr>
              <w:t>tCO</w:t>
            </w:r>
            <w:r>
              <w:rPr>
                <w:rFonts w:ascii="Times New Roman" w:hAnsi="Times New Roman"/>
                <w:sz w:val="18"/>
                <w:szCs w:val="18"/>
                <w:vertAlign w:val="subscript"/>
              </w:rPr>
              <w:t>2</w:t>
            </w:r>
            <w:r>
              <w:rPr>
                <w:rFonts w:ascii="Times New Roman" w:hAnsi="Times New Roman"/>
                <w:sz w:val="18"/>
                <w:szCs w:val="18"/>
              </w:rPr>
              <w:t>/MW∙h</w:t>
            </w:r>
          </w:p>
        </w:tc>
        <w:tc>
          <w:tcPr>
            <w:tcW w:w="3193" w:type="dxa"/>
          </w:tcPr>
          <w:p>
            <w:pPr>
              <w:rPr>
                <w:rFonts w:ascii="Times New Roman" w:hAnsi="Times New Roman"/>
                <w:sz w:val="18"/>
                <w:szCs w:val="18"/>
              </w:rPr>
            </w:pPr>
            <w:r>
              <w:rPr>
                <w:rFonts w:ascii="Times New Roman" w:hAnsi="Times New Roman"/>
                <w:sz w:val="18"/>
                <w:szCs w:val="18"/>
              </w:rPr>
              <w:t>0.5810</w:t>
            </w:r>
            <w:r>
              <w:rPr>
                <w:rFonts w:ascii="Times New Roman" w:hAnsi="Times New Roman"/>
                <w:sz w:val="18"/>
                <w:szCs w:val="18"/>
                <w:vertAlign w:val="superscript"/>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trPr>
        <w:tc>
          <w:tcPr>
            <w:tcW w:w="3188" w:type="dxa"/>
          </w:tcPr>
          <w:p>
            <w:pPr>
              <w:rPr>
                <w:rFonts w:ascii="Times New Roman" w:hAnsi="Times New Roman"/>
                <w:sz w:val="18"/>
                <w:szCs w:val="18"/>
              </w:rPr>
            </w:pPr>
            <w:r>
              <w:rPr>
                <w:rFonts w:ascii="Times New Roman" w:hAnsi="Times New Roman"/>
                <w:sz w:val="18"/>
                <w:szCs w:val="18"/>
              </w:rPr>
              <w:t>热力供应排放因子</w:t>
            </w:r>
          </w:p>
        </w:tc>
        <w:tc>
          <w:tcPr>
            <w:tcW w:w="3189" w:type="dxa"/>
          </w:tcPr>
          <w:p>
            <w:pPr>
              <w:rPr>
                <w:rFonts w:ascii="Times New Roman" w:hAnsi="Times New Roman"/>
                <w:sz w:val="18"/>
                <w:szCs w:val="18"/>
              </w:rPr>
            </w:pPr>
            <w:r>
              <w:rPr>
                <w:rFonts w:ascii="Times New Roman" w:hAnsi="Times New Roman"/>
                <w:sz w:val="18"/>
                <w:szCs w:val="18"/>
              </w:rPr>
              <w:t>tCO</w:t>
            </w:r>
            <w:r>
              <w:rPr>
                <w:rFonts w:ascii="Times New Roman" w:hAnsi="Times New Roman"/>
                <w:sz w:val="18"/>
                <w:szCs w:val="18"/>
                <w:vertAlign w:val="subscript"/>
              </w:rPr>
              <w:t>2</w:t>
            </w:r>
            <w:r>
              <w:rPr>
                <w:rFonts w:ascii="Times New Roman" w:hAnsi="Times New Roman"/>
                <w:sz w:val="18"/>
                <w:szCs w:val="18"/>
              </w:rPr>
              <w:t>/GJ</w:t>
            </w:r>
          </w:p>
        </w:tc>
        <w:tc>
          <w:tcPr>
            <w:tcW w:w="3193" w:type="dxa"/>
          </w:tcPr>
          <w:p>
            <w:pPr>
              <w:rPr>
                <w:rFonts w:ascii="Times New Roman" w:hAnsi="Times New Roman"/>
                <w:sz w:val="18"/>
                <w:szCs w:val="18"/>
              </w:rPr>
            </w:pPr>
            <w:r>
              <w:rPr>
                <w:rFonts w:ascii="Times New Roman" w:hAnsi="Times New Roman"/>
                <w:sz w:val="18"/>
                <w:szCs w:val="18"/>
              </w:rPr>
              <w:t>0.11</w:t>
            </w:r>
            <w:r>
              <w:rPr>
                <w:rFonts w:ascii="Times New Roman" w:hAnsi="Times New Roman"/>
                <w:sz w:val="18"/>
                <w:szCs w:val="18"/>
                <w:vertAlign w:val="superscript"/>
              </w:rPr>
              <w:t>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trPr>
        <w:tc>
          <w:tcPr>
            <w:tcW w:w="9570" w:type="dxa"/>
            <w:gridSpan w:val="3"/>
            <w:tcBorders>
              <w:top w:val="single" w:color="auto" w:sz="8" w:space="0"/>
              <w:bottom w:val="single" w:color="auto" w:sz="8" w:space="0"/>
            </w:tcBorders>
            <w:shd w:val="clear" w:color="auto" w:fill="auto"/>
          </w:tcPr>
          <w:p>
            <w:pPr>
              <w:pStyle w:val="57"/>
              <w:ind w:firstLine="0" w:firstLineChars="0"/>
              <w:rPr>
                <w:rFonts w:ascii="Times New Roman"/>
                <w:sz w:val="18"/>
                <w:szCs w:val="18"/>
              </w:rPr>
            </w:pPr>
            <w:r>
              <w:rPr>
                <w:rFonts w:ascii="Times New Roman"/>
                <w:sz w:val="18"/>
                <w:szCs w:val="18"/>
                <w:vertAlign w:val="superscript"/>
              </w:rPr>
              <w:t>a</w:t>
            </w:r>
            <w:r>
              <w:rPr>
                <w:rFonts w:ascii="Times New Roman"/>
                <w:sz w:val="18"/>
                <w:szCs w:val="18"/>
              </w:rPr>
              <w:t>数据来源为《企业温室气体排放核算方法与报告指南发电设施（2022年修订版）》。</w:t>
            </w:r>
          </w:p>
          <w:p>
            <w:pPr>
              <w:pStyle w:val="57"/>
              <w:ind w:firstLine="0" w:firstLineChars="0"/>
              <w:rPr>
                <w:rFonts w:ascii="Times New Roman"/>
              </w:rPr>
            </w:pPr>
            <w:r>
              <w:rPr>
                <w:rFonts w:ascii="Times New Roman"/>
                <w:sz w:val="18"/>
                <w:szCs w:val="18"/>
                <w:vertAlign w:val="superscript"/>
              </w:rPr>
              <w:t>b</w:t>
            </w:r>
            <w:r>
              <w:rPr>
                <w:rFonts w:ascii="Times New Roman"/>
                <w:sz w:val="18"/>
                <w:szCs w:val="18"/>
              </w:rPr>
              <w:t>数据取值来源为GB/T 32150-2015 《工业企业温室气体排放核算和报告通则》。</w:t>
            </w:r>
          </w:p>
        </w:tc>
      </w:tr>
    </w:tbl>
    <w:p>
      <w:pPr>
        <w:pStyle w:val="66"/>
        <w:numPr>
          <w:ilvl w:val="0"/>
          <w:numId w:val="0"/>
        </w:numPr>
        <w:spacing w:before="156" w:after="156"/>
        <w:rPr>
          <w:rFonts w:ascii="Times New Roman"/>
        </w:rPr>
      </w:pPr>
    </w:p>
    <w:p>
      <w:pPr>
        <w:pStyle w:val="66"/>
        <w:spacing w:before="156" w:after="156"/>
        <w:rPr>
          <w:rFonts w:ascii="Times New Roman"/>
        </w:rPr>
      </w:pPr>
      <w:r>
        <w:rPr>
          <w:rFonts w:ascii="Times New Roman"/>
        </w:rPr>
        <w:t>交通工具</w:t>
      </w:r>
    </w:p>
    <w:p>
      <w:pPr>
        <w:pStyle w:val="57"/>
        <w:ind w:firstLine="420"/>
        <w:rPr>
          <w:rFonts w:ascii="Times New Roman"/>
        </w:rPr>
      </w:pPr>
      <w:r>
        <w:rPr>
          <w:rFonts w:ascii="Times New Roman"/>
        </w:rPr>
        <w:t>交通工具温室气体排放因子可采用生态环境部有关单位发布的中国产品全生命周期温室气体排放系数集（2022）中的交通有关排放因子数据。</w:t>
      </w:r>
    </w:p>
    <w:p>
      <w:pPr>
        <w:pStyle w:val="66"/>
        <w:spacing w:before="156" w:after="156"/>
        <w:rPr>
          <w:rFonts w:ascii="Times New Roman"/>
        </w:rPr>
      </w:pPr>
      <w:r>
        <w:rPr>
          <w:rFonts w:ascii="Times New Roman"/>
        </w:rPr>
        <w:t>酒店住宿</w:t>
      </w:r>
    </w:p>
    <w:p>
      <w:pPr>
        <w:pStyle w:val="57"/>
        <w:ind w:firstLine="420"/>
        <w:rPr>
          <w:rFonts w:ascii="Times New Roman"/>
        </w:rPr>
      </w:pPr>
      <w:r>
        <w:rPr>
          <w:rFonts w:ascii="Times New Roman"/>
        </w:rPr>
        <w:t>酒店住宿的温室气体排放因子推荐值见表3。</w:t>
      </w:r>
    </w:p>
    <w:p>
      <w:pPr>
        <w:pStyle w:val="113"/>
        <w:spacing w:before="156" w:after="156"/>
        <w:rPr>
          <w:rFonts w:ascii="Times New Roman"/>
        </w:rPr>
      </w:pPr>
      <w:r>
        <w:rPr>
          <w:rFonts w:ascii="Times New Roman"/>
        </w:rPr>
        <w:t>酒店住宿的温室气体排放因子推荐值</w:t>
      </w:r>
    </w:p>
    <w:tbl>
      <w:tblPr>
        <w:tblStyle w:val="232"/>
        <w:tblW w:w="96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60"/>
        <w:gridCol w:w="2965"/>
        <w:gridCol w:w="32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 w:hRule="atLeast"/>
        </w:trPr>
        <w:tc>
          <w:tcPr>
            <w:tcW w:w="3460" w:type="dxa"/>
            <w:vAlign w:val="center"/>
          </w:tcPr>
          <w:p>
            <w:pPr>
              <w:spacing w:line="24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名称</w:t>
            </w:r>
          </w:p>
        </w:tc>
        <w:tc>
          <w:tcPr>
            <w:tcW w:w="2965" w:type="dxa"/>
            <w:vAlign w:val="center"/>
          </w:tcPr>
          <w:p>
            <w:pPr>
              <w:spacing w:line="24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单位</w:t>
            </w:r>
          </w:p>
        </w:tc>
        <w:tc>
          <w:tcPr>
            <w:tcW w:w="3233" w:type="dxa"/>
            <w:vAlign w:val="center"/>
          </w:tcPr>
          <w:p>
            <w:pPr>
              <w:spacing w:line="24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推荐值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2" w:hRule="atLeast"/>
        </w:trPr>
        <w:tc>
          <w:tcPr>
            <w:tcW w:w="3460" w:type="dxa"/>
            <w:vAlign w:val="center"/>
          </w:tcPr>
          <w:p>
            <w:pPr>
              <w:spacing w:line="24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酒店住宿的温室气体排放因子</w:t>
            </w:r>
          </w:p>
        </w:tc>
        <w:tc>
          <w:tcPr>
            <w:tcW w:w="2965" w:type="dxa"/>
            <w:vAlign w:val="center"/>
          </w:tcPr>
          <w:p>
            <w:pPr>
              <w:spacing w:line="24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kgCO</w:t>
            </w:r>
            <w:r>
              <w:rPr>
                <w:rFonts w:ascii="Times New Roman" w:hAnsi="Times New Roman" w:eastAsia="宋体" w:cs="Times New Roman"/>
                <w:sz w:val="18"/>
                <w:szCs w:val="18"/>
                <w:vertAlign w:val="subscript"/>
              </w:rPr>
              <w:t>2</w:t>
            </w:r>
            <w:r>
              <w:rPr>
                <w:rFonts w:ascii="Times New Roman" w:hAnsi="Times New Roman" w:eastAsia="宋体" w:cs="Times New Roman"/>
                <w:sz w:val="18"/>
                <w:szCs w:val="18"/>
              </w:rPr>
              <w:t>e/间·晚</w:t>
            </w:r>
          </w:p>
        </w:tc>
        <w:tc>
          <w:tcPr>
            <w:tcW w:w="3233" w:type="dxa"/>
            <w:vAlign w:val="center"/>
          </w:tcPr>
          <w:p>
            <w:pPr>
              <w:spacing w:line="24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44.03</w:t>
            </w:r>
            <w:r>
              <w:rPr>
                <w:rFonts w:ascii="Times New Roman" w:hAnsi="Times New Roman" w:eastAsia="宋体" w:cs="Times New Roman"/>
                <w:sz w:val="18"/>
                <w:szCs w:val="18"/>
                <w:vertAlign w:val="superscript"/>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7" w:hRule="atLeast"/>
        </w:trPr>
        <w:tc>
          <w:tcPr>
            <w:tcW w:w="9658" w:type="dxa"/>
            <w:gridSpan w:val="3"/>
            <w:vAlign w:val="center"/>
          </w:tcPr>
          <w:p>
            <w:pPr>
              <w:spacing w:line="240" w:lineRule="auto"/>
              <w:rPr>
                <w:rFonts w:ascii="Times New Roman" w:hAnsi="Times New Roman" w:eastAsia="宋体" w:cs="Times New Roman"/>
                <w:sz w:val="18"/>
                <w:szCs w:val="18"/>
              </w:rPr>
            </w:pPr>
            <w:r>
              <w:rPr>
                <w:rFonts w:ascii="Times New Roman" w:hAnsi="Times New Roman" w:eastAsia="宋体" w:cs="Times New Roman"/>
                <w:sz w:val="18"/>
                <w:szCs w:val="18"/>
                <w:vertAlign w:val="superscript"/>
              </w:rPr>
              <w:t>a</w:t>
            </w:r>
            <w:r>
              <w:rPr>
                <w:rFonts w:ascii="Times New Roman" w:hAnsi="Times New Roman" w:eastAsia="宋体" w:cs="Times New Roman"/>
                <w:sz w:val="18"/>
                <w:szCs w:val="18"/>
              </w:rPr>
              <w:t>数据来自中国产品全生命周期温室气体排放系数集（2022）。</w:t>
            </w:r>
          </w:p>
        </w:tc>
      </w:tr>
    </w:tbl>
    <w:p>
      <w:pPr>
        <w:pStyle w:val="57"/>
        <w:ind w:firstLine="420"/>
        <w:rPr>
          <w:rFonts w:ascii="Times New Roman"/>
        </w:rPr>
      </w:pPr>
    </w:p>
    <w:p>
      <w:pPr>
        <w:pStyle w:val="66"/>
        <w:spacing w:before="156" w:after="156"/>
        <w:rPr>
          <w:rFonts w:ascii="Times New Roman"/>
        </w:rPr>
      </w:pPr>
      <w:r>
        <w:rPr>
          <w:rFonts w:ascii="Times New Roman"/>
        </w:rPr>
        <w:t>餐饮</w:t>
      </w:r>
    </w:p>
    <w:p>
      <w:pPr>
        <w:pStyle w:val="57"/>
        <w:ind w:firstLine="420"/>
        <w:rPr>
          <w:rFonts w:ascii="Times New Roman"/>
        </w:rPr>
      </w:pPr>
      <w:r>
        <w:rPr>
          <w:rFonts w:ascii="Times New Roman"/>
        </w:rPr>
        <w:t>餐饮排放因子可参考《居民食品消费碳排放：影响因素与减排策略》第三章节表3-2中各种食物二氧化碳折算系数及人均每餐消耗量数据计算得到。</w:t>
      </w:r>
    </w:p>
    <w:p>
      <w:pPr>
        <w:pStyle w:val="66"/>
        <w:spacing w:before="156" w:after="156"/>
        <w:rPr>
          <w:rFonts w:ascii="Times New Roman"/>
        </w:rPr>
      </w:pPr>
      <w:r>
        <w:rPr>
          <w:rFonts w:ascii="Times New Roman"/>
        </w:rPr>
        <w:t>会展用品隐含碳排放</w:t>
      </w:r>
    </w:p>
    <w:p>
      <w:pPr>
        <w:pStyle w:val="57"/>
        <w:ind w:firstLine="420"/>
        <w:rPr>
          <w:rFonts w:ascii="Times New Roman"/>
        </w:rPr>
      </w:pPr>
      <w:r>
        <w:rPr>
          <w:rFonts w:ascii="Times New Roman"/>
        </w:rPr>
        <w:t>会展用品有关排放因子可采用生态环境部有关单位发布的中国产品全生命周期温室气体排放系数集（2022）中的有关排放因子数据。</w:t>
      </w:r>
    </w:p>
    <w:p>
      <w:pPr>
        <w:pStyle w:val="66"/>
        <w:spacing w:before="156" w:after="156"/>
        <w:rPr>
          <w:rFonts w:ascii="Times New Roman"/>
        </w:rPr>
      </w:pPr>
      <w:r>
        <w:rPr>
          <w:rFonts w:ascii="Times New Roman"/>
        </w:rPr>
        <w:t>废弃物处理</w:t>
      </w:r>
    </w:p>
    <w:p>
      <w:pPr>
        <w:pStyle w:val="57"/>
        <w:ind w:firstLine="420"/>
        <w:rPr>
          <w:rFonts w:ascii="Times New Roman"/>
        </w:rPr>
      </w:pPr>
      <w:r>
        <w:rPr>
          <w:rFonts w:ascii="Times New Roman"/>
        </w:rPr>
        <w:t>固体废弃物填埋处理有关因子可参考《省级温室气体清单编制指南（试行）》中第五章第二节内容。</w:t>
      </w:r>
    </w:p>
    <w:p>
      <w:pPr>
        <w:pStyle w:val="105"/>
        <w:spacing w:before="312" w:after="312"/>
        <w:rPr>
          <w:rFonts w:ascii="Times New Roman"/>
        </w:rPr>
      </w:pPr>
      <w:bookmarkStart w:id="76" w:name="_Toc111814592"/>
      <w:r>
        <w:rPr>
          <w:rFonts w:ascii="Times New Roman"/>
        </w:rPr>
        <w:t>核算报告</w:t>
      </w:r>
      <w:bookmarkEnd w:id="76"/>
    </w:p>
    <w:p>
      <w:pPr>
        <w:pStyle w:val="163"/>
      </w:pPr>
      <w:r>
        <w:rPr>
          <w:rFonts w:hint="eastAsia"/>
        </w:rPr>
        <w:t>会展活动碳足迹核算报告中宜包括至少以下信息：</w:t>
      </w:r>
    </w:p>
    <w:p>
      <w:pPr>
        <w:pStyle w:val="175"/>
        <w:numPr>
          <w:ilvl w:val="0"/>
          <w:numId w:val="35"/>
        </w:numPr>
      </w:pPr>
      <w:r>
        <w:rPr>
          <w:rFonts w:hint="eastAsia"/>
        </w:rPr>
        <w:t>会展活动基本信息；</w:t>
      </w:r>
    </w:p>
    <w:p>
      <w:pPr>
        <w:pStyle w:val="175"/>
      </w:pPr>
      <w:r>
        <w:rPr>
          <w:rFonts w:hint="eastAsia"/>
        </w:rPr>
        <w:t>活动数据及来源；</w:t>
      </w:r>
    </w:p>
    <w:p>
      <w:pPr>
        <w:pStyle w:val="175"/>
      </w:pPr>
      <w:r>
        <w:rPr>
          <w:rFonts w:hint="eastAsia"/>
        </w:rPr>
        <w:t>排放因子数据及来源；</w:t>
      </w:r>
    </w:p>
    <w:p>
      <w:pPr>
        <w:pStyle w:val="175"/>
      </w:pPr>
      <w:r>
        <w:rPr>
          <w:rFonts w:hint="eastAsia"/>
        </w:rPr>
        <w:t>温室气体排放量。</w:t>
      </w:r>
    </w:p>
    <w:p>
      <w:pPr>
        <w:pStyle w:val="163"/>
      </w:pPr>
      <w:r>
        <w:rPr>
          <w:rFonts w:hint="eastAsia"/>
        </w:rPr>
        <w:t>会展活动碳足迹核算报告模板见附录A。</w:t>
      </w:r>
    </w:p>
    <w:p>
      <w:pPr>
        <w:pStyle w:val="163"/>
        <w:rPr>
          <w:highlight w:val="yellow"/>
        </w:rPr>
        <w:sectPr>
          <w:pgSz w:w="11906" w:h="16838"/>
          <w:pgMar w:top="1928" w:right="1134" w:bottom="1134" w:left="1134" w:header="1418" w:footer="1134" w:gutter="284"/>
          <w:cols w:space="425" w:num="1"/>
          <w:formProt w:val="0"/>
          <w:docGrid w:type="lines" w:linePitch="312" w:charSpace="0"/>
        </w:sectPr>
      </w:pPr>
    </w:p>
    <w:p>
      <w:pPr>
        <w:pStyle w:val="199"/>
        <w:rPr>
          <w:vanish w:val="0"/>
        </w:rPr>
      </w:pPr>
    </w:p>
    <w:p>
      <w:pPr>
        <w:pStyle w:val="200"/>
        <w:rPr>
          <w:vanish w:val="0"/>
        </w:rPr>
      </w:pPr>
    </w:p>
    <w:bookmarkEnd w:id="14"/>
    <w:p>
      <w:pPr>
        <w:pStyle w:val="199"/>
        <w:rPr>
          <w:vanish w:val="0"/>
        </w:rPr>
      </w:pPr>
      <w:bookmarkStart w:id="77" w:name="BookMark5"/>
    </w:p>
    <w:p>
      <w:pPr>
        <w:pStyle w:val="200"/>
        <w:rPr>
          <w:vanish w:val="0"/>
        </w:rPr>
      </w:pPr>
    </w:p>
    <w:p>
      <w:pPr>
        <w:pStyle w:val="77"/>
        <w:spacing w:after="156"/>
      </w:pPr>
      <w:r>
        <w:br w:type="textWrapping"/>
      </w:r>
      <w:bookmarkStart w:id="78" w:name="_Toc111814593"/>
      <w:r>
        <w:rPr>
          <w:rFonts w:hint="eastAsia"/>
        </w:rPr>
        <w:t>（资料性）</w:t>
      </w:r>
      <w:r>
        <w:br w:type="textWrapping"/>
      </w:r>
      <w:r>
        <w:rPr>
          <w:rFonts w:hint="eastAsia"/>
        </w:rPr>
        <w:t>会展活动碳足迹核算报告模板</w:t>
      </w:r>
      <w:bookmarkEnd w:id="78"/>
    </w:p>
    <w:bookmarkEnd w:id="77"/>
    <w:p>
      <w:pPr>
        <w:spacing w:after="156" w:afterLines="50" w:line="360" w:lineRule="auto"/>
        <w:rPr>
          <w:rFonts w:ascii="宋体" w:hAnsi="宋体"/>
          <w:sz w:val="28"/>
          <w:szCs w:val="28"/>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0" w:firstLineChars="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0" w:firstLineChars="0"/>
        <w:jc w:val="center"/>
        <w:rPr>
          <w:b/>
          <w:sz w:val="48"/>
          <w:szCs w:val="48"/>
          <w:highlight w:val="yellow"/>
        </w:rPr>
      </w:pPr>
      <w:r>
        <w:rPr>
          <w:rFonts w:hint="eastAsia"/>
          <w:b/>
          <w:sz w:val="48"/>
          <w:szCs w:val="48"/>
        </w:rPr>
        <w:t>会展活动碳足迹核算报告</w:t>
      </w: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0" w:firstLineChars="0"/>
        <w:rPr>
          <w:highlight w:val="yellow"/>
        </w:rPr>
      </w:pPr>
    </w:p>
    <w:p>
      <w:pPr>
        <w:pStyle w:val="57"/>
        <w:ind w:firstLine="420"/>
        <w:rPr>
          <w:highlight w:val="yellow"/>
        </w:rPr>
      </w:pPr>
    </w:p>
    <w:p>
      <w:pPr>
        <w:ind w:firstLine="1920" w:firstLineChars="600"/>
        <w:rPr>
          <w:sz w:val="32"/>
          <w:szCs w:val="32"/>
        </w:rPr>
      </w:pPr>
      <w:r>
        <w:rPr>
          <w:rFonts w:hint="eastAsia"/>
          <w:sz w:val="32"/>
          <w:szCs w:val="32"/>
        </w:rPr>
        <w:t>报告机构（盖章）：</w:t>
      </w:r>
    </w:p>
    <w:p>
      <w:pPr>
        <w:ind w:firstLine="1920" w:firstLineChars="600"/>
        <w:rPr>
          <w:sz w:val="32"/>
          <w:szCs w:val="32"/>
        </w:rPr>
      </w:pPr>
      <w:r>
        <w:rPr>
          <w:rFonts w:hint="eastAsia"/>
          <w:sz w:val="32"/>
          <w:szCs w:val="32"/>
        </w:rPr>
        <w:t>报告日期：</w:t>
      </w:r>
    </w:p>
    <w:p>
      <w:pPr>
        <w:pStyle w:val="57"/>
        <w:ind w:firstLine="420"/>
        <w:rPr>
          <w:highlight w:val="yellow"/>
        </w:rPr>
      </w:pPr>
    </w:p>
    <w:p>
      <w:pPr>
        <w:pStyle w:val="57"/>
        <w:ind w:firstLine="420"/>
        <w:rPr>
          <w:highlight w:val="yellow"/>
        </w:rPr>
      </w:pPr>
    </w:p>
    <w:p>
      <w:pPr>
        <w:pStyle w:val="57"/>
        <w:ind w:firstLine="420"/>
        <w:rPr>
          <w:highlight w:val="yellow"/>
        </w:rPr>
      </w:pPr>
    </w:p>
    <w:p>
      <w:pPr>
        <w:pStyle w:val="57"/>
        <w:ind w:firstLine="0" w:firstLineChars="0"/>
        <w:rPr>
          <w:highlight w:val="yellow"/>
        </w:rPr>
      </w:pPr>
    </w:p>
    <w:p>
      <w:pPr>
        <w:pStyle w:val="57"/>
        <w:ind w:firstLine="0" w:firstLineChars="0"/>
        <w:rPr>
          <w:highlight w:val="yellow"/>
        </w:rPr>
      </w:pPr>
    </w:p>
    <w:p>
      <w:pPr>
        <w:pStyle w:val="57"/>
        <w:ind w:firstLine="0" w:firstLineChars="0"/>
        <w:rPr>
          <w:highlight w:val="yellow"/>
        </w:rPr>
      </w:pPr>
    </w:p>
    <w:p>
      <w:pPr>
        <w:spacing w:after="156" w:afterLines="50" w:line="360" w:lineRule="auto"/>
        <w:rPr>
          <w:rFonts w:ascii="宋体" w:hAnsi="宋体"/>
          <w:sz w:val="24"/>
          <w:szCs w:val="28"/>
        </w:rPr>
      </w:pPr>
      <w:r>
        <w:rPr>
          <w:rFonts w:hint="eastAsia" w:ascii="宋体" w:hAnsi="宋体"/>
          <w:sz w:val="24"/>
          <w:szCs w:val="28"/>
        </w:rPr>
        <w:t>一、基本信息</w:t>
      </w:r>
    </w:p>
    <w:tbl>
      <w:tblPr>
        <w:tblStyle w:val="233"/>
        <w:tblW w:w="957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5"/>
        <w:gridCol w:w="664"/>
        <w:gridCol w:w="1321"/>
        <w:gridCol w:w="852"/>
        <w:gridCol w:w="991"/>
        <w:gridCol w:w="1418"/>
        <w:gridCol w:w="708"/>
        <w:gridCol w:w="789"/>
        <w:gridCol w:w="13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6" w:hRule="atLeast"/>
          <w:jc w:val="center"/>
        </w:trPr>
        <w:tc>
          <w:tcPr>
            <w:tcW w:w="2189" w:type="dxa"/>
            <w:gridSpan w:val="2"/>
            <w:vAlign w:val="center"/>
          </w:tcPr>
          <w:p>
            <w:pPr>
              <w:spacing w:line="240" w:lineRule="auto"/>
              <w:jc w:val="center"/>
              <w:rPr>
                <w:rFonts w:ascii="宋体" w:hAnsi="宋体" w:eastAsia="宋体" w:cstheme="minorBidi"/>
                <w:sz w:val="24"/>
                <w:szCs w:val="28"/>
              </w:rPr>
            </w:pPr>
            <w:r>
              <w:rPr>
                <w:rFonts w:hint="eastAsia" w:ascii="宋体" w:hAnsi="宋体" w:eastAsia="宋体" w:cstheme="minorBidi"/>
                <w:sz w:val="24"/>
                <w:szCs w:val="28"/>
              </w:rPr>
              <w:t>会展活动名称</w:t>
            </w:r>
          </w:p>
        </w:tc>
        <w:tc>
          <w:tcPr>
            <w:tcW w:w="7381" w:type="dxa"/>
            <w:gridSpan w:val="7"/>
            <w:vAlign w:val="center"/>
          </w:tcPr>
          <w:p>
            <w:pPr>
              <w:spacing w:line="240" w:lineRule="auto"/>
              <w:jc w:val="center"/>
              <w:rPr>
                <w:rFonts w:ascii="宋体" w:hAnsi="宋体" w:eastAsia="宋体" w:cstheme="minorBidi"/>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2" w:hRule="atLeast"/>
          <w:jc w:val="center"/>
        </w:trPr>
        <w:tc>
          <w:tcPr>
            <w:tcW w:w="2189" w:type="dxa"/>
            <w:gridSpan w:val="2"/>
            <w:vAlign w:val="center"/>
          </w:tcPr>
          <w:p>
            <w:pPr>
              <w:spacing w:line="240" w:lineRule="auto"/>
              <w:jc w:val="center"/>
              <w:rPr>
                <w:rFonts w:ascii="宋体" w:hAnsi="宋体" w:eastAsia="宋体" w:cstheme="minorBidi"/>
                <w:sz w:val="24"/>
                <w:szCs w:val="28"/>
              </w:rPr>
            </w:pPr>
            <w:r>
              <w:rPr>
                <w:rFonts w:hint="eastAsia" w:ascii="宋体" w:hAnsi="宋体" w:eastAsia="宋体" w:cstheme="minorBidi"/>
                <w:sz w:val="24"/>
                <w:szCs w:val="28"/>
              </w:rPr>
              <w:t>会展活动主办方</w:t>
            </w:r>
          </w:p>
        </w:tc>
        <w:tc>
          <w:tcPr>
            <w:tcW w:w="3164" w:type="dxa"/>
            <w:gridSpan w:val="3"/>
            <w:vAlign w:val="center"/>
          </w:tcPr>
          <w:p>
            <w:pPr>
              <w:spacing w:line="240" w:lineRule="auto"/>
              <w:jc w:val="center"/>
              <w:rPr>
                <w:rFonts w:ascii="宋体" w:hAnsi="宋体" w:eastAsia="宋体" w:cstheme="minorBidi"/>
                <w:sz w:val="24"/>
                <w:szCs w:val="28"/>
              </w:rPr>
            </w:pPr>
          </w:p>
        </w:tc>
        <w:tc>
          <w:tcPr>
            <w:tcW w:w="2126" w:type="dxa"/>
            <w:gridSpan w:val="2"/>
            <w:vAlign w:val="center"/>
          </w:tcPr>
          <w:p>
            <w:pPr>
              <w:spacing w:line="240" w:lineRule="auto"/>
              <w:jc w:val="center"/>
              <w:rPr>
                <w:rFonts w:ascii="宋体" w:hAnsi="宋体" w:eastAsia="宋体" w:cstheme="minorBidi"/>
                <w:sz w:val="24"/>
                <w:szCs w:val="28"/>
              </w:rPr>
            </w:pPr>
            <w:r>
              <w:rPr>
                <w:rFonts w:hint="eastAsia" w:ascii="宋体" w:hAnsi="宋体" w:eastAsia="宋体" w:cstheme="minorBidi"/>
                <w:sz w:val="24"/>
                <w:szCs w:val="28"/>
              </w:rPr>
              <w:t>会展活动承办方</w:t>
            </w:r>
          </w:p>
        </w:tc>
        <w:tc>
          <w:tcPr>
            <w:tcW w:w="2091" w:type="dxa"/>
            <w:gridSpan w:val="2"/>
            <w:vAlign w:val="center"/>
          </w:tcPr>
          <w:p>
            <w:pPr>
              <w:spacing w:line="240" w:lineRule="auto"/>
              <w:jc w:val="center"/>
              <w:rPr>
                <w:rFonts w:ascii="宋体" w:hAnsi="宋体" w:eastAsia="宋体" w:cstheme="minorBidi"/>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525" w:type="dxa"/>
            <w:vAlign w:val="center"/>
          </w:tcPr>
          <w:p>
            <w:pPr>
              <w:spacing w:line="240" w:lineRule="auto"/>
              <w:jc w:val="center"/>
              <w:rPr>
                <w:rFonts w:ascii="宋体" w:hAnsi="宋体" w:eastAsiaTheme="minorEastAsia" w:cstheme="minorBidi"/>
                <w:sz w:val="24"/>
                <w:szCs w:val="28"/>
              </w:rPr>
            </w:pPr>
            <w:r>
              <w:rPr>
                <w:rFonts w:hint="eastAsia" w:ascii="宋体" w:hAnsi="宋体" w:eastAsia="宋体" w:cstheme="minorBidi"/>
                <w:sz w:val="24"/>
                <w:szCs w:val="28"/>
              </w:rPr>
              <w:t>活动性质</w:t>
            </w:r>
          </w:p>
        </w:tc>
        <w:tc>
          <w:tcPr>
            <w:tcW w:w="1985" w:type="dxa"/>
            <w:gridSpan w:val="2"/>
            <w:vAlign w:val="center"/>
          </w:tcPr>
          <w:p>
            <w:pPr>
              <w:spacing w:line="240" w:lineRule="auto"/>
              <w:rPr>
                <w:rFonts w:ascii="宋体" w:hAnsi="宋体" w:eastAsia="宋体" w:cstheme="minorBidi"/>
                <w:sz w:val="24"/>
                <w:szCs w:val="28"/>
              </w:rPr>
            </w:pPr>
            <w:r>
              <w:rPr>
                <w:rFonts w:ascii="宋体" w:hAnsi="宋体" w:eastAsia="宋体" w:cstheme="minorBidi"/>
                <w:sz w:val="24"/>
                <w:szCs w:val="28"/>
              </w:rPr>
              <w:sym w:font="Wingdings 2" w:char="F02A"/>
            </w:r>
            <w:r>
              <w:rPr>
                <w:rFonts w:hint="eastAsia" w:ascii="宋体" w:hAnsi="宋体" w:eastAsia="宋体" w:cstheme="minorBidi"/>
                <w:sz w:val="24"/>
                <w:szCs w:val="28"/>
              </w:rPr>
              <w:t xml:space="preserve">会议 </w:t>
            </w:r>
            <w:r>
              <w:rPr>
                <w:rFonts w:hint="eastAsia" w:ascii="宋体" w:hAnsi="宋体" w:eastAsia="宋体" w:cstheme="minorBidi"/>
                <w:sz w:val="24"/>
                <w:szCs w:val="28"/>
              </w:rPr>
              <w:sym w:font="Wingdings 2" w:char="F02A"/>
            </w:r>
            <w:r>
              <w:rPr>
                <w:rFonts w:hint="eastAsia" w:ascii="宋体" w:hAnsi="宋体" w:eastAsia="宋体" w:cstheme="minorBidi"/>
                <w:sz w:val="24"/>
                <w:szCs w:val="28"/>
              </w:rPr>
              <w:t xml:space="preserve">展览 </w:t>
            </w:r>
          </w:p>
          <w:p>
            <w:pPr>
              <w:spacing w:line="240" w:lineRule="auto"/>
              <w:jc w:val="left"/>
              <w:rPr>
                <w:rFonts w:ascii="宋体" w:hAnsi="宋体" w:eastAsiaTheme="minorEastAsia" w:cstheme="minorBidi"/>
                <w:sz w:val="24"/>
                <w:szCs w:val="28"/>
              </w:rPr>
            </w:pPr>
            <w:r>
              <w:rPr>
                <w:rFonts w:hint="eastAsia" w:ascii="宋体" w:hAnsi="宋体" w:eastAsia="宋体" w:cstheme="minorBidi"/>
                <w:sz w:val="24"/>
                <w:szCs w:val="28"/>
              </w:rPr>
              <w:sym w:font="Wingdings 2" w:char="F02A"/>
            </w:r>
            <w:r>
              <w:rPr>
                <w:rFonts w:hint="eastAsia" w:ascii="宋体" w:hAnsi="宋体" w:eastAsia="宋体" w:cstheme="minorBidi"/>
                <w:sz w:val="24"/>
                <w:szCs w:val="28"/>
              </w:rPr>
              <w:t>其他：</w:t>
            </w:r>
            <w:r>
              <w:rPr>
                <w:rFonts w:hint="eastAsia" w:ascii="宋体" w:hAnsi="宋体" w:eastAsia="宋体" w:cstheme="minorBidi"/>
                <w:sz w:val="24"/>
                <w:szCs w:val="28"/>
                <w:u w:val="single"/>
              </w:rPr>
              <w:t xml:space="preserve">     </w:t>
            </w:r>
          </w:p>
        </w:tc>
        <w:tc>
          <w:tcPr>
            <w:tcW w:w="852" w:type="dxa"/>
            <w:vAlign w:val="center"/>
          </w:tcPr>
          <w:p>
            <w:pPr>
              <w:spacing w:line="240" w:lineRule="auto"/>
              <w:jc w:val="center"/>
              <w:rPr>
                <w:rFonts w:ascii="宋体" w:hAnsi="宋体" w:eastAsiaTheme="minorEastAsia" w:cstheme="minorBidi"/>
                <w:sz w:val="24"/>
                <w:szCs w:val="28"/>
              </w:rPr>
            </w:pPr>
            <w:r>
              <w:rPr>
                <w:rFonts w:hint="eastAsia" w:ascii="宋体" w:hAnsi="宋体" w:eastAsia="宋体" w:cstheme="minorBidi"/>
                <w:sz w:val="24"/>
                <w:szCs w:val="28"/>
              </w:rPr>
              <w:t>会展人数</w:t>
            </w:r>
          </w:p>
        </w:tc>
        <w:tc>
          <w:tcPr>
            <w:tcW w:w="991" w:type="dxa"/>
            <w:vAlign w:val="center"/>
          </w:tcPr>
          <w:p>
            <w:pPr>
              <w:spacing w:line="240" w:lineRule="auto"/>
              <w:jc w:val="center"/>
              <w:rPr>
                <w:rFonts w:ascii="宋体" w:hAnsi="宋体" w:eastAsia="宋体" w:cstheme="minorBidi"/>
                <w:sz w:val="24"/>
                <w:szCs w:val="28"/>
              </w:rPr>
            </w:pPr>
          </w:p>
        </w:tc>
        <w:tc>
          <w:tcPr>
            <w:tcW w:w="1418" w:type="dxa"/>
            <w:vAlign w:val="center"/>
          </w:tcPr>
          <w:p>
            <w:pPr>
              <w:spacing w:line="240" w:lineRule="auto"/>
              <w:jc w:val="center"/>
              <w:rPr>
                <w:rFonts w:ascii="宋体" w:hAnsi="宋体" w:eastAsia="宋体" w:cstheme="minorBidi"/>
                <w:sz w:val="24"/>
                <w:szCs w:val="28"/>
              </w:rPr>
            </w:pPr>
            <w:r>
              <w:rPr>
                <w:rFonts w:hint="eastAsia" w:ascii="宋体" w:hAnsi="宋体" w:eastAsia="宋体" w:cstheme="minorBidi"/>
                <w:sz w:val="24"/>
                <w:szCs w:val="28"/>
              </w:rPr>
              <w:t>会展面积（平方米）</w:t>
            </w:r>
          </w:p>
        </w:tc>
        <w:tc>
          <w:tcPr>
            <w:tcW w:w="708" w:type="dxa"/>
            <w:vAlign w:val="center"/>
          </w:tcPr>
          <w:p>
            <w:pPr>
              <w:spacing w:line="240" w:lineRule="auto"/>
              <w:jc w:val="center"/>
              <w:rPr>
                <w:rFonts w:ascii="宋体" w:hAnsi="宋体" w:eastAsia="宋体" w:cstheme="minorBidi"/>
                <w:sz w:val="24"/>
                <w:szCs w:val="28"/>
              </w:rPr>
            </w:pPr>
          </w:p>
        </w:tc>
        <w:tc>
          <w:tcPr>
            <w:tcW w:w="789" w:type="dxa"/>
            <w:vAlign w:val="center"/>
          </w:tcPr>
          <w:p>
            <w:pPr>
              <w:spacing w:line="240" w:lineRule="auto"/>
              <w:jc w:val="center"/>
              <w:rPr>
                <w:rFonts w:ascii="宋体" w:hAnsi="宋体" w:eastAsia="宋体" w:cstheme="minorBidi"/>
                <w:sz w:val="24"/>
                <w:szCs w:val="28"/>
              </w:rPr>
            </w:pPr>
            <w:r>
              <w:rPr>
                <w:rFonts w:hint="eastAsia" w:ascii="宋体" w:hAnsi="宋体" w:eastAsia="宋体" w:cstheme="minorBidi"/>
                <w:sz w:val="24"/>
                <w:szCs w:val="28"/>
              </w:rPr>
              <w:t>活动时间</w:t>
            </w:r>
          </w:p>
        </w:tc>
        <w:tc>
          <w:tcPr>
            <w:tcW w:w="1302" w:type="dxa"/>
            <w:vAlign w:val="center"/>
          </w:tcPr>
          <w:p>
            <w:pPr>
              <w:spacing w:line="240" w:lineRule="auto"/>
              <w:jc w:val="center"/>
              <w:rPr>
                <w:rFonts w:ascii="宋体" w:hAnsi="宋体" w:eastAsia="宋体" w:cstheme="minorBidi"/>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64" w:hRule="atLeast"/>
          <w:jc w:val="center"/>
        </w:trPr>
        <w:tc>
          <w:tcPr>
            <w:tcW w:w="2189" w:type="dxa"/>
            <w:gridSpan w:val="2"/>
            <w:vAlign w:val="center"/>
          </w:tcPr>
          <w:p>
            <w:pPr>
              <w:spacing w:line="240" w:lineRule="auto"/>
              <w:jc w:val="center"/>
              <w:rPr>
                <w:rFonts w:ascii="宋体" w:hAnsi="宋体" w:eastAsia="宋体" w:cstheme="minorBidi"/>
                <w:sz w:val="24"/>
                <w:szCs w:val="28"/>
              </w:rPr>
            </w:pPr>
            <w:r>
              <w:rPr>
                <w:rFonts w:hint="eastAsia" w:ascii="宋体" w:hAnsi="宋体" w:eastAsia="宋体" w:cstheme="minorBidi"/>
                <w:sz w:val="24"/>
                <w:szCs w:val="28"/>
              </w:rPr>
              <w:t>活动内容和日程安排</w:t>
            </w:r>
          </w:p>
        </w:tc>
        <w:tc>
          <w:tcPr>
            <w:tcW w:w="7381" w:type="dxa"/>
            <w:gridSpan w:val="7"/>
            <w:vAlign w:val="center"/>
          </w:tcPr>
          <w:p>
            <w:pPr>
              <w:spacing w:line="240" w:lineRule="auto"/>
              <w:jc w:val="center"/>
              <w:rPr>
                <w:rFonts w:ascii="宋体" w:hAnsi="宋体" w:eastAsia="宋体" w:cstheme="minorBidi"/>
                <w:sz w:val="24"/>
                <w:szCs w:val="28"/>
              </w:rPr>
            </w:pPr>
          </w:p>
        </w:tc>
      </w:tr>
    </w:tbl>
    <w:p>
      <w:pPr>
        <w:spacing w:before="156" w:beforeLines="50" w:after="156" w:afterLines="50" w:line="360" w:lineRule="auto"/>
        <w:rPr>
          <w:rFonts w:ascii="宋体" w:hAnsi="宋体"/>
          <w:sz w:val="24"/>
          <w:szCs w:val="28"/>
        </w:rPr>
      </w:pPr>
      <w:r>
        <w:rPr>
          <w:rFonts w:hint="eastAsia" w:ascii="宋体" w:hAnsi="宋体"/>
          <w:sz w:val="24"/>
          <w:szCs w:val="28"/>
        </w:rPr>
        <w:t>二、核算边界</w:t>
      </w:r>
    </w:p>
    <w:p>
      <w:pPr>
        <w:spacing w:line="360" w:lineRule="auto"/>
        <w:rPr>
          <w:rFonts w:ascii="宋体" w:hAnsi="宋体"/>
          <w:sz w:val="24"/>
          <w:szCs w:val="28"/>
        </w:rPr>
      </w:pPr>
      <w:r>
        <w:rPr>
          <w:rFonts w:hint="eastAsia" w:ascii="宋体" w:hAnsi="宋体"/>
          <w:sz w:val="24"/>
          <w:szCs w:val="28"/>
        </w:rPr>
        <w:t>（对会展活动的核算边界进行说明）</w:t>
      </w:r>
    </w:p>
    <w:p>
      <w:pPr>
        <w:spacing w:before="156" w:beforeLines="50" w:after="156" w:afterLines="50" w:line="360" w:lineRule="auto"/>
        <w:rPr>
          <w:rFonts w:ascii="宋体" w:hAnsi="宋体"/>
          <w:sz w:val="24"/>
          <w:szCs w:val="28"/>
        </w:rPr>
      </w:pPr>
      <w:r>
        <w:rPr>
          <w:rFonts w:hint="eastAsia" w:ascii="宋体" w:hAnsi="宋体"/>
          <w:sz w:val="24"/>
          <w:szCs w:val="28"/>
        </w:rPr>
        <w:t>三、核算数据选择与确定</w:t>
      </w:r>
    </w:p>
    <w:p>
      <w:pPr>
        <w:spacing w:before="156" w:beforeLines="50" w:line="360" w:lineRule="auto"/>
        <w:rPr>
          <w:rFonts w:ascii="宋体" w:hAnsi="宋体"/>
          <w:sz w:val="24"/>
          <w:szCs w:val="28"/>
        </w:rPr>
      </w:pPr>
      <w:r>
        <w:rPr>
          <w:rFonts w:hint="eastAsia" w:ascii="宋体" w:hAnsi="宋体"/>
          <w:sz w:val="24"/>
          <w:szCs w:val="28"/>
        </w:rPr>
        <w:t>（一）会展活动场地燃料燃烧（含运输车辆，如有）</w:t>
      </w:r>
    </w:p>
    <w:p>
      <w:pPr>
        <w:spacing w:line="360" w:lineRule="auto"/>
        <w:ind w:firstLine="240" w:firstLineChars="100"/>
        <w:rPr>
          <w:rFonts w:ascii="宋体" w:hAnsi="宋体"/>
          <w:sz w:val="24"/>
          <w:szCs w:val="28"/>
        </w:rPr>
      </w:pPr>
      <w:r>
        <w:rPr>
          <w:rFonts w:hint="eastAsia" w:ascii="宋体" w:hAnsi="宋体"/>
          <w:sz w:val="24"/>
          <w:szCs w:val="28"/>
        </w:rPr>
        <w:t>1、活动数据来源说明</w:t>
      </w:r>
    </w:p>
    <w:p>
      <w:pPr>
        <w:spacing w:line="360" w:lineRule="auto"/>
        <w:ind w:firstLine="240" w:firstLineChars="100"/>
        <w:rPr>
          <w:rFonts w:ascii="宋体" w:hAnsi="宋体"/>
          <w:sz w:val="24"/>
          <w:szCs w:val="28"/>
        </w:rPr>
      </w:pPr>
      <w:r>
        <w:rPr>
          <w:rFonts w:hint="eastAsia" w:ascii="宋体" w:hAnsi="宋体"/>
          <w:sz w:val="24"/>
          <w:szCs w:val="28"/>
        </w:rPr>
        <w:t>2、排放因子选择说明</w:t>
      </w:r>
    </w:p>
    <w:p>
      <w:pPr>
        <w:spacing w:line="360" w:lineRule="auto"/>
        <w:ind w:firstLine="240" w:firstLineChars="100"/>
        <w:rPr>
          <w:rFonts w:ascii="Times New Roman" w:hAnsi="Times New Roman"/>
          <w:sz w:val="24"/>
          <w:szCs w:val="28"/>
        </w:rPr>
      </w:pPr>
      <w:r>
        <w:rPr>
          <w:rFonts w:hint="eastAsia" w:ascii="宋体" w:hAnsi="宋体"/>
          <w:sz w:val="24"/>
          <w:szCs w:val="28"/>
        </w:rPr>
        <w:t>3、</w:t>
      </w:r>
      <w:r>
        <w:rPr>
          <w:rFonts w:ascii="Times New Roman" w:hAnsi="Times New Roman"/>
          <w:sz w:val="24"/>
          <w:szCs w:val="28"/>
        </w:rPr>
        <w:t>活动数据和排放因子确定</w:t>
      </w:r>
    </w:p>
    <w:tbl>
      <w:tblPr>
        <w:tblStyle w:val="33"/>
        <w:tblW w:w="9386" w:type="dxa"/>
        <w:tblInd w:w="108" w:type="dxa"/>
        <w:tblLayout w:type="fixed"/>
        <w:tblCellMar>
          <w:top w:w="0" w:type="dxa"/>
          <w:left w:w="108" w:type="dxa"/>
          <w:bottom w:w="0" w:type="dxa"/>
          <w:right w:w="108" w:type="dxa"/>
        </w:tblCellMar>
      </w:tblPr>
      <w:tblGrid>
        <w:gridCol w:w="1271"/>
        <w:gridCol w:w="1402"/>
        <w:gridCol w:w="1404"/>
        <w:gridCol w:w="1956"/>
        <w:gridCol w:w="1121"/>
        <w:gridCol w:w="1119"/>
        <w:gridCol w:w="1113"/>
      </w:tblGrid>
      <w:tr>
        <w:tblPrEx>
          <w:tblLayout w:type="fixed"/>
          <w:tblCellMar>
            <w:top w:w="0" w:type="dxa"/>
            <w:left w:w="108" w:type="dxa"/>
            <w:bottom w:w="0" w:type="dxa"/>
            <w:right w:w="108" w:type="dxa"/>
          </w:tblCellMar>
        </w:tblPrEx>
        <w:trPr>
          <w:trHeight w:val="697"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能源名称</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jc w:val="center"/>
              <w:rPr>
                <w:rFonts w:ascii="Times New Roman" w:hAnsi="Times New Roman"/>
              </w:rPr>
            </w:pPr>
            <w:r>
              <w:rPr>
                <w:rFonts w:ascii="Times New Roman" w:hAnsi="Times New Roman"/>
              </w:rPr>
              <w:t>消费量</w:t>
            </w:r>
          </w:p>
          <w:p>
            <w:pPr>
              <w:spacing w:line="240" w:lineRule="auto"/>
              <w:jc w:val="center"/>
              <w:rPr>
                <w:rFonts w:ascii="Times New Roman" w:hAnsi="Times New Roman"/>
              </w:rPr>
            </w:pPr>
            <w:r>
              <w:rPr>
                <w:rFonts w:ascii="Times New Roman" w:hAnsi="Times New Roman"/>
              </w:rPr>
              <w:t>(t，万Nm</w:t>
            </w:r>
            <w:r>
              <w:rPr>
                <w:rFonts w:ascii="Times New Roman" w:hAnsi="Times New Roman"/>
                <w:vertAlign w:val="superscript"/>
              </w:rPr>
              <w:t>3</w:t>
            </w:r>
            <w:r>
              <w:rPr>
                <w:rFonts w:ascii="Times New Roman" w:hAnsi="Times New Roman"/>
              </w:rPr>
              <w:t>)</w:t>
            </w: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jc w:val="center"/>
              <w:rPr>
                <w:rFonts w:ascii="Times New Roman" w:hAnsi="Times New Roman"/>
              </w:rPr>
            </w:pPr>
            <w:r>
              <w:rPr>
                <w:rFonts w:ascii="Times New Roman" w:hAnsi="Times New Roman"/>
              </w:rPr>
              <w:t>热值（GJ/t，GJ/万Nm</w:t>
            </w:r>
            <w:r>
              <w:rPr>
                <w:rFonts w:ascii="Times New Roman" w:hAnsi="Times New Roman"/>
                <w:vertAlign w:val="superscript"/>
              </w:rPr>
              <w:t>3</w:t>
            </w:r>
            <w:r>
              <w:rPr>
                <w:rFonts w:ascii="Times New Roman" w:hAnsi="Times New Roman"/>
              </w:rPr>
              <w:t>）</w:t>
            </w:r>
          </w:p>
        </w:tc>
        <w:tc>
          <w:tcPr>
            <w:tcW w:w="1956"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jc w:val="center"/>
              <w:rPr>
                <w:rFonts w:ascii="Times New Roman" w:hAnsi="Times New Roman"/>
              </w:rPr>
            </w:pPr>
            <w:r>
              <w:rPr>
                <w:rFonts w:ascii="Times New Roman" w:hAnsi="Times New Roman"/>
              </w:rPr>
              <w:t>单位热值含碳量(tC/TJ)</w:t>
            </w:r>
          </w:p>
        </w:tc>
        <w:tc>
          <w:tcPr>
            <w:tcW w:w="1121" w:type="dxa"/>
            <w:tcBorders>
              <w:top w:val="single" w:color="000000" w:sz="4" w:space="0"/>
              <w:left w:val="single" w:color="000000" w:sz="4" w:space="0"/>
              <w:bottom w:val="single" w:color="auto" w:sz="4" w:space="0"/>
              <w:right w:val="single" w:color="000000" w:sz="4" w:space="0"/>
            </w:tcBorders>
            <w:shd w:val="clear" w:color="auto" w:fill="auto"/>
            <w:vAlign w:val="center"/>
          </w:tcPr>
          <w:p>
            <w:pPr>
              <w:spacing w:line="240" w:lineRule="auto"/>
              <w:jc w:val="center"/>
              <w:rPr>
                <w:rFonts w:ascii="Times New Roman" w:hAnsi="Times New Roman"/>
              </w:rPr>
            </w:pPr>
            <w:r>
              <w:rPr>
                <w:rFonts w:ascii="Times New Roman" w:hAnsi="Times New Roman"/>
              </w:rPr>
              <w:t>碳氧化率</w:t>
            </w:r>
          </w:p>
        </w:tc>
        <w:tc>
          <w:tcPr>
            <w:tcW w:w="1119" w:type="dxa"/>
            <w:tcBorders>
              <w:top w:val="single" w:color="000000" w:sz="4" w:space="0"/>
              <w:left w:val="single" w:color="000000" w:sz="4" w:space="0"/>
              <w:bottom w:val="single" w:color="auto" w:sz="4" w:space="0"/>
              <w:right w:val="single" w:color="000000" w:sz="4" w:space="0"/>
            </w:tcBorders>
            <w:vAlign w:val="center"/>
          </w:tcPr>
          <w:p>
            <w:pPr>
              <w:spacing w:line="240" w:lineRule="auto"/>
              <w:jc w:val="center"/>
              <w:rPr>
                <w:rFonts w:ascii="Times New Roman" w:hAnsi="Times New Roman"/>
              </w:rPr>
            </w:pPr>
            <w:r>
              <w:rPr>
                <w:rFonts w:ascii="Times New Roman" w:hAnsi="Times New Roman"/>
              </w:rPr>
              <w:t>CO</w:t>
            </w:r>
            <w:r>
              <w:rPr>
                <w:rFonts w:ascii="Times New Roman" w:hAnsi="Times New Roman"/>
                <w:vertAlign w:val="subscript"/>
              </w:rPr>
              <w:t>2</w:t>
            </w:r>
            <w:r>
              <w:rPr>
                <w:rFonts w:ascii="Times New Roman" w:hAnsi="Times New Roman"/>
              </w:rPr>
              <w:t>与碳分子量比</w:t>
            </w:r>
          </w:p>
        </w:tc>
        <w:tc>
          <w:tcPr>
            <w:tcW w:w="1113" w:type="dxa"/>
            <w:tcBorders>
              <w:top w:val="single" w:color="000000" w:sz="4" w:space="0"/>
              <w:left w:val="single" w:color="000000" w:sz="4" w:space="0"/>
              <w:bottom w:val="single" w:color="auto" w:sz="4" w:space="0"/>
              <w:right w:val="single" w:color="000000" w:sz="4" w:space="0"/>
            </w:tcBorders>
            <w:vAlign w:val="center"/>
          </w:tcPr>
          <w:p>
            <w:pPr>
              <w:spacing w:line="240" w:lineRule="auto"/>
              <w:jc w:val="center"/>
              <w:rPr>
                <w:rFonts w:ascii="Times New Roman" w:hAnsi="Times New Roman"/>
              </w:rPr>
            </w:pPr>
            <w:r>
              <w:rPr>
                <w:rFonts w:ascii="Times New Roman" w:hAnsi="Times New Roman"/>
              </w:rPr>
              <w:t>排放量(tCO</w:t>
            </w:r>
            <w:r>
              <w:rPr>
                <w:rFonts w:ascii="Times New Roman" w:hAnsi="Times New Roman"/>
                <w:vertAlign w:val="subscript"/>
              </w:rPr>
              <w:t>2</w:t>
            </w:r>
            <w:r>
              <w:rPr>
                <w:rFonts w:ascii="Times New Roman" w:hAnsi="Times New Roman"/>
              </w:rPr>
              <w:t>e)</w:t>
            </w: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原油</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燃料油</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汽油</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煤油</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柴油</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液化石油气</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炼厂干气</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液化天然气</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天然气</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焦炉煤气</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高炉煤气</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转炉煤气</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其它煤气</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PrEx>
        <w:trPr>
          <w:trHeight w:val="456" w:hRule="exact"/>
        </w:trPr>
        <w:tc>
          <w:tcPr>
            <w:tcW w:w="12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color w:val="000000"/>
                <w:kern w:val="0"/>
              </w:rPr>
              <w:t>液化天然气</w:t>
            </w: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40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956" w:type="dxa"/>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p>
        </w:tc>
        <w:tc>
          <w:tcPr>
            <w:tcW w:w="1119"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r>
        <w:tblPrEx>
          <w:tblLayout w:type="fixed"/>
          <w:tblCellMar>
            <w:top w:w="0" w:type="dxa"/>
            <w:left w:w="108" w:type="dxa"/>
            <w:bottom w:w="0" w:type="dxa"/>
            <w:right w:w="108" w:type="dxa"/>
          </w:tblCellMar>
        </w:tblPrEx>
        <w:trPr>
          <w:trHeight w:val="456" w:hRule="exact"/>
        </w:trPr>
        <w:tc>
          <w:tcPr>
            <w:tcW w:w="8273" w:type="dxa"/>
            <w:gridSpan w:val="6"/>
            <w:tcBorders>
              <w:top w:val="single" w:color="000000" w:sz="4" w:space="0"/>
              <w:left w:val="single" w:color="000000" w:sz="4" w:space="0"/>
              <w:bottom w:val="single" w:color="000000" w:sz="4" w:space="0"/>
              <w:right w:val="single" w:color="auto" w:sz="4" w:space="0"/>
            </w:tcBorders>
            <w:shd w:val="clear" w:color="auto" w:fill="auto"/>
            <w:vAlign w:val="center"/>
          </w:tcPr>
          <w:p>
            <w:pPr>
              <w:widowControl/>
              <w:adjustRightInd/>
              <w:spacing w:line="240" w:lineRule="auto"/>
              <w:jc w:val="center"/>
              <w:rPr>
                <w:rFonts w:ascii="Times New Roman" w:hAnsi="Times New Roman"/>
                <w:color w:val="000000"/>
                <w:kern w:val="0"/>
              </w:rPr>
            </w:pPr>
            <w:r>
              <w:rPr>
                <w:rFonts w:ascii="Times New Roman" w:hAnsi="Times New Roman"/>
              </w:rPr>
              <w:t>燃料燃烧排放量（总）</w:t>
            </w:r>
          </w:p>
        </w:tc>
        <w:tc>
          <w:tcPr>
            <w:tcW w:w="1113" w:type="dxa"/>
            <w:tcBorders>
              <w:top w:val="single" w:color="auto" w:sz="4" w:space="0"/>
              <w:left w:val="single" w:color="auto" w:sz="4" w:space="0"/>
              <w:bottom w:val="single" w:color="auto" w:sz="4" w:space="0"/>
              <w:right w:val="single" w:color="auto" w:sz="4" w:space="0"/>
            </w:tcBorders>
            <w:vAlign w:val="center"/>
          </w:tcPr>
          <w:p>
            <w:pPr>
              <w:widowControl/>
              <w:adjustRightInd/>
              <w:spacing w:line="240" w:lineRule="auto"/>
              <w:jc w:val="center"/>
              <w:rPr>
                <w:rFonts w:ascii="Times New Roman" w:hAnsi="Times New Roman"/>
                <w:color w:val="000000"/>
                <w:kern w:val="0"/>
              </w:rPr>
            </w:pPr>
          </w:p>
        </w:tc>
      </w:tr>
    </w:tbl>
    <w:p>
      <w:pPr>
        <w:spacing w:before="156" w:beforeLines="50" w:line="360" w:lineRule="auto"/>
        <w:rPr>
          <w:rFonts w:ascii="Times New Roman" w:hAnsi="Times New Roman"/>
          <w:sz w:val="24"/>
          <w:szCs w:val="28"/>
        </w:rPr>
      </w:pPr>
      <w:r>
        <w:rPr>
          <w:rFonts w:ascii="Times New Roman" w:hAnsi="Times New Roman"/>
          <w:sz w:val="24"/>
          <w:szCs w:val="28"/>
        </w:rPr>
        <w:t>（二）净购入电力</w:t>
      </w:r>
    </w:p>
    <w:p>
      <w:pPr>
        <w:spacing w:line="360" w:lineRule="auto"/>
        <w:ind w:firstLine="240" w:firstLineChars="100"/>
        <w:rPr>
          <w:rFonts w:ascii="Times New Roman" w:hAnsi="Times New Roman"/>
          <w:sz w:val="24"/>
          <w:szCs w:val="28"/>
        </w:rPr>
      </w:pPr>
      <w:r>
        <w:rPr>
          <w:rFonts w:ascii="Times New Roman" w:hAnsi="Times New Roman"/>
          <w:sz w:val="24"/>
          <w:szCs w:val="28"/>
        </w:rPr>
        <w:t>1、活动数据来源说明</w:t>
      </w:r>
    </w:p>
    <w:p>
      <w:pPr>
        <w:spacing w:line="360" w:lineRule="auto"/>
        <w:ind w:firstLine="240" w:firstLineChars="100"/>
        <w:rPr>
          <w:rFonts w:ascii="Times New Roman" w:hAnsi="Times New Roman"/>
          <w:sz w:val="24"/>
          <w:szCs w:val="28"/>
        </w:rPr>
      </w:pPr>
      <w:r>
        <w:rPr>
          <w:rFonts w:ascii="Times New Roman" w:hAnsi="Times New Roman"/>
          <w:sz w:val="24"/>
          <w:szCs w:val="28"/>
        </w:rPr>
        <w:t>2、排放因子选择说明</w:t>
      </w:r>
    </w:p>
    <w:p>
      <w:pPr>
        <w:spacing w:line="360" w:lineRule="auto"/>
        <w:ind w:firstLine="240" w:firstLineChars="100"/>
        <w:rPr>
          <w:rFonts w:ascii="Times New Roman" w:hAnsi="Times New Roman"/>
          <w:sz w:val="24"/>
          <w:szCs w:val="28"/>
        </w:rPr>
      </w:pPr>
      <w:r>
        <w:rPr>
          <w:rFonts w:ascii="Times New Roman" w:hAnsi="Times New Roman"/>
          <w:sz w:val="24"/>
          <w:szCs w:val="28"/>
        </w:rPr>
        <w:t>3、活动数据和排放因子确定</w:t>
      </w:r>
    </w:p>
    <w:tbl>
      <w:tblPr>
        <w:tblStyle w:val="233"/>
        <w:tblW w:w="9319" w:type="dxa"/>
        <w:jc w:val="center"/>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2"/>
        <w:gridCol w:w="2391"/>
        <w:gridCol w:w="2393"/>
        <w:gridCol w:w="23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142" w:type="dxa"/>
            <w:vAlign w:val="center"/>
          </w:tcPr>
          <w:p>
            <w:pPr>
              <w:jc w:val="center"/>
              <w:rPr>
                <w:rFonts w:ascii="Times New Roman" w:hAnsi="Times New Roman" w:eastAsia="宋体" w:cs="Times New Roman"/>
              </w:rPr>
            </w:pPr>
            <w:r>
              <w:rPr>
                <w:rFonts w:ascii="Times New Roman" w:hAnsi="Times New Roman" w:eastAsia="宋体" w:cs="Times New Roman"/>
              </w:rPr>
              <w:t>排放类型</w:t>
            </w:r>
          </w:p>
        </w:tc>
        <w:tc>
          <w:tcPr>
            <w:tcW w:w="2391" w:type="dxa"/>
            <w:vAlign w:val="center"/>
          </w:tcPr>
          <w:p>
            <w:pPr>
              <w:jc w:val="center"/>
              <w:rPr>
                <w:rFonts w:ascii="Times New Roman" w:hAnsi="Times New Roman" w:eastAsia="宋体" w:cs="Times New Roman"/>
              </w:rPr>
            </w:pPr>
            <w:r>
              <w:rPr>
                <w:rFonts w:ascii="Times New Roman" w:hAnsi="Times New Roman" w:eastAsia="宋体" w:cs="Times New Roman"/>
              </w:rPr>
              <w:t>电量（MWh）</w:t>
            </w:r>
          </w:p>
        </w:tc>
        <w:tc>
          <w:tcPr>
            <w:tcW w:w="2393" w:type="dxa"/>
            <w:vAlign w:val="center"/>
          </w:tcPr>
          <w:p>
            <w:pPr>
              <w:jc w:val="center"/>
              <w:rPr>
                <w:rFonts w:ascii="Times New Roman" w:hAnsi="Times New Roman" w:eastAsia="宋体" w:cs="Times New Roman"/>
              </w:rPr>
            </w:pPr>
            <w:r>
              <w:rPr>
                <w:rFonts w:ascii="Times New Roman" w:hAnsi="Times New Roman" w:eastAsia="宋体" w:cs="Times New Roman"/>
              </w:rPr>
              <w:t>排放因子tCO</w:t>
            </w:r>
            <w:r>
              <w:rPr>
                <w:rFonts w:ascii="Times New Roman" w:hAnsi="Times New Roman" w:eastAsia="宋体" w:cs="Times New Roman"/>
                <w:vertAlign w:val="subscript"/>
              </w:rPr>
              <w:t>2</w:t>
            </w:r>
            <w:r>
              <w:rPr>
                <w:rFonts w:ascii="Times New Roman" w:hAnsi="Times New Roman" w:eastAsia="宋体" w:cs="Times New Roman"/>
              </w:rPr>
              <w:t>/MWh）</w:t>
            </w:r>
          </w:p>
        </w:tc>
        <w:tc>
          <w:tcPr>
            <w:tcW w:w="2393" w:type="dxa"/>
            <w:vAlign w:val="center"/>
          </w:tcPr>
          <w:p>
            <w:pPr>
              <w:jc w:val="center"/>
              <w:rPr>
                <w:rFonts w:ascii="Times New Roman" w:hAnsi="Times New Roman" w:eastAsia="宋体" w:cs="Times New Roman"/>
              </w:rPr>
            </w:pPr>
            <w:r>
              <w:rPr>
                <w:rFonts w:ascii="Times New Roman" w:hAnsi="Times New Roman" w:eastAsia="宋体" w:cs="Times New Roman"/>
              </w:rPr>
              <w:t>排放量（tCO</w:t>
            </w:r>
            <w:r>
              <w:rPr>
                <w:rFonts w:ascii="Times New Roman" w:hAnsi="Times New Roman" w:eastAsia="宋体" w:cs="Times New Roman"/>
                <w:vertAlign w:val="subscript"/>
              </w:rPr>
              <w:t>2</w:t>
            </w:r>
            <w:r>
              <w:rPr>
                <w:rFonts w:ascii="Times New Roman" w:hAnsi="Times New Roman" w:eastAsia="宋体" w:cs="Times New Roman"/>
              </w:rPr>
              <w: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142" w:type="dxa"/>
            <w:vAlign w:val="center"/>
          </w:tcPr>
          <w:p>
            <w:pPr>
              <w:jc w:val="center"/>
              <w:rPr>
                <w:rFonts w:ascii="Times New Roman" w:hAnsi="Times New Roman" w:eastAsia="宋体" w:cs="Times New Roman"/>
              </w:rPr>
            </w:pPr>
            <w:r>
              <w:rPr>
                <w:rFonts w:ascii="Times New Roman" w:hAnsi="Times New Roman" w:eastAsia="宋体" w:cs="Times New Roman"/>
              </w:rPr>
              <w:t>净购入电量</w:t>
            </w:r>
          </w:p>
        </w:tc>
        <w:tc>
          <w:tcPr>
            <w:tcW w:w="2391" w:type="dxa"/>
            <w:vAlign w:val="center"/>
          </w:tcPr>
          <w:p>
            <w:pPr>
              <w:jc w:val="center"/>
              <w:rPr>
                <w:rFonts w:ascii="Times New Roman" w:hAnsi="Times New Roman" w:eastAsia="宋体" w:cs="Times New Roman"/>
              </w:rPr>
            </w:pPr>
          </w:p>
        </w:tc>
        <w:tc>
          <w:tcPr>
            <w:tcW w:w="2393" w:type="dxa"/>
            <w:vAlign w:val="center"/>
          </w:tcPr>
          <w:p>
            <w:pPr>
              <w:jc w:val="center"/>
              <w:rPr>
                <w:rFonts w:ascii="Times New Roman" w:hAnsi="Times New Roman" w:eastAsia="宋体" w:cs="Times New Roman"/>
              </w:rPr>
            </w:pPr>
          </w:p>
        </w:tc>
        <w:tc>
          <w:tcPr>
            <w:tcW w:w="2393" w:type="dxa"/>
            <w:vAlign w:val="center"/>
          </w:tcPr>
          <w:p>
            <w:pPr>
              <w:jc w:val="center"/>
              <w:rPr>
                <w:rFonts w:ascii="Times New Roman" w:hAnsi="Times New Roman" w:eastAsia="宋体" w:cs="Times New Roman"/>
              </w:rPr>
            </w:pPr>
          </w:p>
        </w:tc>
      </w:tr>
    </w:tbl>
    <w:p>
      <w:pPr>
        <w:spacing w:before="156" w:beforeLines="50" w:line="360" w:lineRule="auto"/>
        <w:rPr>
          <w:rFonts w:ascii="Times New Roman" w:hAnsi="Times New Roman"/>
          <w:sz w:val="24"/>
          <w:szCs w:val="28"/>
        </w:rPr>
      </w:pPr>
      <w:r>
        <w:rPr>
          <w:rFonts w:ascii="Times New Roman" w:hAnsi="Times New Roman"/>
          <w:sz w:val="24"/>
          <w:szCs w:val="28"/>
        </w:rPr>
        <w:t>（三）净购入热力</w:t>
      </w:r>
    </w:p>
    <w:p>
      <w:pPr>
        <w:spacing w:line="360" w:lineRule="auto"/>
        <w:ind w:firstLine="240" w:firstLineChars="100"/>
        <w:rPr>
          <w:rFonts w:ascii="Times New Roman" w:hAnsi="Times New Roman"/>
          <w:sz w:val="24"/>
          <w:szCs w:val="28"/>
        </w:rPr>
      </w:pPr>
      <w:r>
        <w:rPr>
          <w:rFonts w:ascii="Times New Roman" w:hAnsi="Times New Roman"/>
          <w:sz w:val="24"/>
          <w:szCs w:val="28"/>
        </w:rPr>
        <w:t>1、活动数据来源说明</w:t>
      </w:r>
    </w:p>
    <w:p>
      <w:pPr>
        <w:spacing w:line="360" w:lineRule="auto"/>
        <w:ind w:firstLine="240" w:firstLineChars="100"/>
        <w:rPr>
          <w:rFonts w:ascii="Times New Roman" w:hAnsi="Times New Roman"/>
          <w:sz w:val="24"/>
          <w:szCs w:val="28"/>
        </w:rPr>
      </w:pPr>
      <w:r>
        <w:rPr>
          <w:rFonts w:ascii="Times New Roman" w:hAnsi="Times New Roman"/>
          <w:sz w:val="24"/>
          <w:szCs w:val="28"/>
        </w:rPr>
        <w:t>2、排放因子选择说明</w:t>
      </w:r>
    </w:p>
    <w:p>
      <w:pPr>
        <w:spacing w:line="360" w:lineRule="auto"/>
        <w:ind w:firstLine="240" w:firstLineChars="100"/>
        <w:rPr>
          <w:rFonts w:ascii="Times New Roman" w:hAnsi="Times New Roman"/>
          <w:sz w:val="24"/>
          <w:szCs w:val="28"/>
        </w:rPr>
      </w:pPr>
      <w:r>
        <w:rPr>
          <w:rFonts w:ascii="Times New Roman" w:hAnsi="Times New Roman"/>
          <w:sz w:val="24"/>
          <w:szCs w:val="28"/>
        </w:rPr>
        <w:t>3、活动数据和排放因子确定</w:t>
      </w:r>
    </w:p>
    <w:tbl>
      <w:tblPr>
        <w:tblStyle w:val="233"/>
        <w:tblW w:w="957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2"/>
        <w:gridCol w:w="2392"/>
        <w:gridCol w:w="2393"/>
        <w:gridCol w:w="23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2392" w:type="dxa"/>
            <w:vAlign w:val="center"/>
          </w:tcPr>
          <w:p>
            <w:pPr>
              <w:jc w:val="center"/>
              <w:rPr>
                <w:rFonts w:ascii="Times New Roman" w:hAnsi="Times New Roman" w:eastAsia="宋体" w:cs="Times New Roman"/>
              </w:rPr>
            </w:pPr>
            <w:r>
              <w:rPr>
                <w:rFonts w:ascii="Times New Roman" w:hAnsi="Times New Roman" w:eastAsia="宋体" w:cs="Times New Roman"/>
              </w:rPr>
              <w:t>排放类型</w:t>
            </w:r>
          </w:p>
        </w:tc>
        <w:tc>
          <w:tcPr>
            <w:tcW w:w="2392" w:type="dxa"/>
            <w:vAlign w:val="center"/>
          </w:tcPr>
          <w:p>
            <w:pPr>
              <w:jc w:val="center"/>
              <w:rPr>
                <w:rFonts w:ascii="Times New Roman" w:hAnsi="Times New Roman" w:eastAsia="宋体" w:cs="Times New Roman"/>
              </w:rPr>
            </w:pPr>
            <w:r>
              <w:rPr>
                <w:rFonts w:ascii="Times New Roman" w:hAnsi="Times New Roman" w:eastAsia="宋体" w:cs="Times New Roman"/>
              </w:rPr>
              <w:t>热量（GJ）</w:t>
            </w:r>
          </w:p>
        </w:tc>
        <w:tc>
          <w:tcPr>
            <w:tcW w:w="2393" w:type="dxa"/>
            <w:vAlign w:val="center"/>
          </w:tcPr>
          <w:p>
            <w:pPr>
              <w:jc w:val="center"/>
              <w:rPr>
                <w:rFonts w:ascii="Times New Roman" w:hAnsi="Times New Roman" w:eastAsia="宋体" w:cs="Times New Roman"/>
              </w:rPr>
            </w:pPr>
            <w:r>
              <w:rPr>
                <w:rFonts w:ascii="Times New Roman" w:hAnsi="Times New Roman" w:eastAsia="宋体" w:cs="Times New Roman"/>
              </w:rPr>
              <w:t>排放因子（tCO</w:t>
            </w:r>
            <w:r>
              <w:rPr>
                <w:rFonts w:ascii="Times New Roman" w:hAnsi="Times New Roman" w:eastAsia="宋体" w:cs="Times New Roman"/>
                <w:vertAlign w:val="subscript"/>
              </w:rPr>
              <w:t>2</w:t>
            </w:r>
            <w:r>
              <w:rPr>
                <w:rFonts w:ascii="Times New Roman" w:hAnsi="Times New Roman" w:eastAsia="宋体" w:cs="Times New Roman"/>
              </w:rPr>
              <w:t>/GJ）</w:t>
            </w:r>
          </w:p>
        </w:tc>
        <w:tc>
          <w:tcPr>
            <w:tcW w:w="2393" w:type="dxa"/>
            <w:vAlign w:val="center"/>
          </w:tcPr>
          <w:p>
            <w:pPr>
              <w:jc w:val="center"/>
              <w:rPr>
                <w:rFonts w:ascii="Times New Roman" w:hAnsi="Times New Roman" w:eastAsia="宋体" w:cs="Times New Roman"/>
              </w:rPr>
            </w:pPr>
            <w:r>
              <w:rPr>
                <w:rFonts w:ascii="Times New Roman" w:hAnsi="Times New Roman" w:eastAsia="宋体" w:cs="Times New Roman"/>
              </w:rPr>
              <w:t>排放量（tCO</w:t>
            </w:r>
            <w:r>
              <w:rPr>
                <w:rFonts w:ascii="Times New Roman" w:hAnsi="Times New Roman" w:eastAsia="宋体" w:cs="Times New Roman"/>
                <w:vertAlign w:val="subscript"/>
              </w:rPr>
              <w:t>2</w:t>
            </w:r>
            <w:r>
              <w:rPr>
                <w:rFonts w:ascii="Times New Roman" w:hAnsi="Times New Roman" w:eastAsia="宋体" w:cs="Times New Roman"/>
              </w:rPr>
              <w: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2392" w:type="dxa"/>
            <w:vAlign w:val="center"/>
          </w:tcPr>
          <w:p>
            <w:pPr>
              <w:jc w:val="center"/>
              <w:rPr>
                <w:rFonts w:ascii="Times New Roman" w:hAnsi="Times New Roman" w:eastAsia="宋体" w:cs="Times New Roman"/>
              </w:rPr>
            </w:pPr>
            <w:r>
              <w:rPr>
                <w:rFonts w:ascii="Times New Roman" w:hAnsi="Times New Roman" w:eastAsia="宋体" w:cs="Times New Roman"/>
              </w:rPr>
              <w:t>净购入热力</w:t>
            </w:r>
          </w:p>
        </w:tc>
        <w:tc>
          <w:tcPr>
            <w:tcW w:w="2392" w:type="dxa"/>
            <w:vAlign w:val="center"/>
          </w:tcPr>
          <w:p>
            <w:pPr>
              <w:jc w:val="center"/>
              <w:rPr>
                <w:rFonts w:ascii="Times New Roman" w:hAnsi="Times New Roman" w:eastAsia="宋体" w:cs="Times New Roman"/>
              </w:rPr>
            </w:pPr>
          </w:p>
        </w:tc>
        <w:tc>
          <w:tcPr>
            <w:tcW w:w="2393" w:type="dxa"/>
            <w:vAlign w:val="center"/>
          </w:tcPr>
          <w:p>
            <w:pPr>
              <w:jc w:val="center"/>
              <w:rPr>
                <w:rFonts w:ascii="Times New Roman" w:hAnsi="Times New Roman" w:eastAsia="宋体" w:cs="Times New Roman"/>
              </w:rPr>
            </w:pPr>
          </w:p>
        </w:tc>
        <w:tc>
          <w:tcPr>
            <w:tcW w:w="2393" w:type="dxa"/>
            <w:vAlign w:val="center"/>
          </w:tcPr>
          <w:p>
            <w:pPr>
              <w:jc w:val="center"/>
              <w:rPr>
                <w:rFonts w:ascii="Times New Roman" w:hAnsi="Times New Roman" w:eastAsia="宋体" w:cs="Times New Roman"/>
              </w:rPr>
            </w:pPr>
          </w:p>
        </w:tc>
      </w:tr>
    </w:tbl>
    <w:p>
      <w:pPr>
        <w:spacing w:before="156" w:beforeLines="50" w:line="360" w:lineRule="auto"/>
        <w:rPr>
          <w:rFonts w:ascii="Times New Roman" w:hAnsi="Times New Roman"/>
          <w:sz w:val="24"/>
          <w:szCs w:val="28"/>
        </w:rPr>
      </w:pPr>
      <w:r>
        <w:rPr>
          <w:rFonts w:ascii="Times New Roman" w:hAnsi="Times New Roman"/>
          <w:sz w:val="24"/>
          <w:szCs w:val="28"/>
        </w:rPr>
        <w:t>（四）会展人员往返交通</w:t>
      </w:r>
    </w:p>
    <w:tbl>
      <w:tblPr>
        <w:tblStyle w:val="233"/>
        <w:tblW w:w="95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0"/>
        <w:gridCol w:w="2027"/>
        <w:gridCol w:w="1734"/>
        <w:gridCol w:w="2481"/>
        <w:gridCol w:w="18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exact"/>
        </w:trPr>
        <w:tc>
          <w:tcPr>
            <w:tcW w:w="1500" w:type="dxa"/>
            <w:vAlign w:val="center"/>
          </w:tcPr>
          <w:p>
            <w:pPr>
              <w:jc w:val="center"/>
              <w:rPr>
                <w:rFonts w:ascii="Times New Roman" w:hAnsi="Times New Roman" w:eastAsia="宋体" w:cs="Times New Roman"/>
                <w:szCs w:val="22"/>
              </w:rPr>
            </w:pPr>
            <w:r>
              <w:rPr>
                <w:rFonts w:ascii="Times New Roman" w:hAnsi="Times New Roman" w:eastAsia="宋体" w:cs="Times New Roman"/>
                <w:szCs w:val="22"/>
              </w:rPr>
              <w:t>排放类型</w:t>
            </w:r>
          </w:p>
        </w:tc>
        <w:tc>
          <w:tcPr>
            <w:tcW w:w="2027" w:type="dxa"/>
            <w:vAlign w:val="center"/>
          </w:tcPr>
          <w:p>
            <w:pPr>
              <w:jc w:val="center"/>
              <w:rPr>
                <w:rFonts w:ascii="Times New Roman" w:hAnsi="Times New Roman" w:eastAsia="宋体" w:cs="Times New Roman"/>
                <w:szCs w:val="22"/>
              </w:rPr>
            </w:pPr>
            <w:r>
              <w:rPr>
                <w:rFonts w:ascii="Times New Roman" w:hAnsi="Times New Roman" w:eastAsia="宋体" w:cs="Times New Roman"/>
                <w:szCs w:val="22"/>
              </w:rPr>
              <w:t>交通方式</w:t>
            </w:r>
          </w:p>
        </w:tc>
        <w:tc>
          <w:tcPr>
            <w:tcW w:w="1734" w:type="dxa"/>
            <w:vAlign w:val="center"/>
          </w:tcPr>
          <w:p>
            <w:pPr>
              <w:jc w:val="center"/>
              <w:rPr>
                <w:rFonts w:ascii="Times New Roman" w:hAnsi="Times New Roman" w:eastAsia="宋体" w:cs="Times New Roman"/>
                <w:szCs w:val="22"/>
              </w:rPr>
            </w:pPr>
            <w:r>
              <w:rPr>
                <w:rFonts w:ascii="Times New Roman" w:hAnsi="Times New Roman" w:eastAsia="宋体" w:cs="Times New Roman"/>
                <w:szCs w:val="22"/>
              </w:rPr>
              <w:t>里程（km）</w:t>
            </w:r>
          </w:p>
        </w:tc>
        <w:tc>
          <w:tcPr>
            <w:tcW w:w="2481" w:type="dxa"/>
            <w:vAlign w:val="center"/>
          </w:tcPr>
          <w:p>
            <w:pPr>
              <w:jc w:val="center"/>
              <w:rPr>
                <w:rFonts w:ascii="Times New Roman" w:hAnsi="Times New Roman" w:eastAsia="宋体" w:cs="Times New Roman"/>
                <w:szCs w:val="22"/>
              </w:rPr>
            </w:pPr>
            <w:r>
              <w:rPr>
                <w:rFonts w:ascii="Times New Roman" w:hAnsi="Times New Roman" w:eastAsia="宋体" w:cs="Times New Roman"/>
                <w:szCs w:val="22"/>
              </w:rPr>
              <w:t>排放因子（kgCO</w:t>
            </w:r>
            <w:r>
              <w:rPr>
                <w:rFonts w:ascii="Times New Roman" w:hAnsi="Times New Roman" w:eastAsia="宋体" w:cs="Times New Roman"/>
                <w:szCs w:val="22"/>
                <w:vertAlign w:val="subscript"/>
              </w:rPr>
              <w:t>2</w:t>
            </w:r>
            <w:r>
              <w:rPr>
                <w:rFonts w:ascii="Times New Roman" w:hAnsi="Times New Roman" w:eastAsia="宋体" w:cs="Times New Roman"/>
                <w:szCs w:val="22"/>
              </w:rPr>
              <w:t>/人•km)</w:t>
            </w:r>
          </w:p>
        </w:tc>
        <w:tc>
          <w:tcPr>
            <w:tcW w:w="1828" w:type="dxa"/>
            <w:vAlign w:val="center"/>
          </w:tcPr>
          <w:p>
            <w:pPr>
              <w:jc w:val="center"/>
              <w:rPr>
                <w:rFonts w:ascii="Times New Roman" w:hAnsi="Times New Roman" w:eastAsia="宋体" w:cs="Times New Roman"/>
                <w:szCs w:val="22"/>
              </w:rPr>
            </w:pPr>
            <w:r>
              <w:rPr>
                <w:rFonts w:ascii="Times New Roman" w:hAnsi="Times New Roman" w:eastAsia="宋体" w:cs="Times New Roman"/>
                <w:szCs w:val="22"/>
              </w:rPr>
              <w:t>排放量（</w:t>
            </w:r>
            <w:r>
              <w:rPr>
                <w:rFonts w:ascii="Times New Roman" w:hAnsi="Times New Roman" w:eastAsia="宋体" w:cs="Times New Roman"/>
              </w:rPr>
              <w:t>tCO</w:t>
            </w:r>
            <w:r>
              <w:rPr>
                <w:rFonts w:ascii="Times New Roman" w:hAnsi="Times New Roman" w:eastAsia="宋体" w:cs="Times New Roman"/>
                <w:vertAlign w:val="subscript"/>
              </w:rPr>
              <w:t>2</w:t>
            </w:r>
            <w:r>
              <w:rPr>
                <w:rFonts w:ascii="Times New Roman" w:hAnsi="Times New Roman" w:eastAsia="宋体" w:cs="Times New Roman"/>
              </w:rPr>
              <w:t>e</w:t>
            </w:r>
            <w:r>
              <w:rPr>
                <w:rFonts w:ascii="Times New Roman" w:hAnsi="Times New Roman" w:eastAsia="宋体" w:cs="Times New Roman"/>
                <w:szCs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1500" w:type="dxa"/>
            <w:vMerge w:val="restart"/>
            <w:vAlign w:val="center"/>
          </w:tcPr>
          <w:p>
            <w:pPr>
              <w:jc w:val="center"/>
              <w:rPr>
                <w:rFonts w:ascii="Times New Roman" w:hAnsi="Times New Roman" w:eastAsia="宋体" w:cs="Times New Roman"/>
                <w:szCs w:val="22"/>
              </w:rPr>
            </w:pPr>
            <w:r>
              <w:rPr>
                <w:rFonts w:ascii="Times New Roman" w:hAnsi="Times New Roman" w:eastAsia="宋体" w:cs="Times New Roman"/>
                <w:szCs w:val="22"/>
              </w:rPr>
              <w:t>交通排放</w:t>
            </w:r>
          </w:p>
        </w:tc>
        <w:tc>
          <w:tcPr>
            <w:tcW w:w="2027" w:type="dxa"/>
            <w:vAlign w:val="center"/>
          </w:tcPr>
          <w:p>
            <w:pPr>
              <w:jc w:val="center"/>
              <w:rPr>
                <w:rFonts w:ascii="Times New Roman" w:hAnsi="Times New Roman" w:eastAsia="宋体" w:cs="Times New Roman"/>
                <w:szCs w:val="22"/>
              </w:rPr>
            </w:pPr>
          </w:p>
        </w:tc>
        <w:tc>
          <w:tcPr>
            <w:tcW w:w="1734" w:type="dxa"/>
            <w:vAlign w:val="center"/>
          </w:tcPr>
          <w:p>
            <w:pPr>
              <w:jc w:val="center"/>
              <w:rPr>
                <w:rFonts w:ascii="Times New Roman" w:hAnsi="Times New Roman" w:eastAsia="宋体" w:cs="Times New Roman"/>
                <w:szCs w:val="22"/>
              </w:rPr>
            </w:pPr>
          </w:p>
        </w:tc>
        <w:tc>
          <w:tcPr>
            <w:tcW w:w="2481" w:type="dxa"/>
            <w:vAlign w:val="center"/>
          </w:tcPr>
          <w:p>
            <w:pPr>
              <w:jc w:val="center"/>
              <w:rPr>
                <w:rFonts w:ascii="Times New Roman" w:hAnsi="Times New Roman" w:eastAsia="宋体" w:cs="Times New Roman"/>
                <w:szCs w:val="22"/>
              </w:rPr>
            </w:pPr>
          </w:p>
        </w:tc>
        <w:tc>
          <w:tcPr>
            <w:tcW w:w="1828" w:type="dxa"/>
            <w:vAlign w:val="center"/>
          </w:tcPr>
          <w:p>
            <w:pPr>
              <w:jc w:val="center"/>
              <w:rPr>
                <w:rFonts w:ascii="Times New Roman" w:hAnsi="Times New Roman" w:eastAsia="宋体" w:cs="Times New Roman"/>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1500" w:type="dxa"/>
            <w:vMerge w:val="continue"/>
            <w:vAlign w:val="center"/>
          </w:tcPr>
          <w:p>
            <w:pPr>
              <w:jc w:val="center"/>
              <w:rPr>
                <w:rFonts w:ascii="Times New Roman" w:hAnsi="Times New Roman" w:eastAsia="宋体" w:cs="Times New Roman"/>
                <w:szCs w:val="22"/>
              </w:rPr>
            </w:pPr>
          </w:p>
        </w:tc>
        <w:tc>
          <w:tcPr>
            <w:tcW w:w="2027" w:type="dxa"/>
            <w:vAlign w:val="center"/>
          </w:tcPr>
          <w:p>
            <w:pPr>
              <w:jc w:val="center"/>
              <w:rPr>
                <w:rFonts w:ascii="Times New Roman" w:hAnsi="Times New Roman" w:eastAsia="宋体" w:cs="Times New Roman"/>
                <w:szCs w:val="22"/>
              </w:rPr>
            </w:pPr>
          </w:p>
        </w:tc>
        <w:tc>
          <w:tcPr>
            <w:tcW w:w="1734" w:type="dxa"/>
            <w:vAlign w:val="center"/>
          </w:tcPr>
          <w:p>
            <w:pPr>
              <w:jc w:val="center"/>
              <w:rPr>
                <w:rFonts w:ascii="Times New Roman" w:hAnsi="Times New Roman" w:eastAsia="宋体" w:cs="Times New Roman"/>
                <w:szCs w:val="22"/>
              </w:rPr>
            </w:pPr>
          </w:p>
        </w:tc>
        <w:tc>
          <w:tcPr>
            <w:tcW w:w="2481" w:type="dxa"/>
            <w:vAlign w:val="center"/>
          </w:tcPr>
          <w:p>
            <w:pPr>
              <w:jc w:val="center"/>
              <w:rPr>
                <w:rFonts w:ascii="Times New Roman" w:hAnsi="Times New Roman" w:eastAsia="宋体" w:cs="Times New Roman"/>
                <w:szCs w:val="22"/>
              </w:rPr>
            </w:pPr>
          </w:p>
        </w:tc>
        <w:tc>
          <w:tcPr>
            <w:tcW w:w="1828" w:type="dxa"/>
            <w:vAlign w:val="center"/>
          </w:tcPr>
          <w:p>
            <w:pPr>
              <w:jc w:val="center"/>
              <w:rPr>
                <w:rFonts w:ascii="Times New Roman" w:hAnsi="Times New Roman" w:eastAsia="宋体" w:cs="Times New Roman"/>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1500" w:type="dxa"/>
            <w:vMerge w:val="continue"/>
            <w:vAlign w:val="center"/>
          </w:tcPr>
          <w:p>
            <w:pPr>
              <w:jc w:val="center"/>
              <w:rPr>
                <w:rFonts w:ascii="Times New Roman" w:hAnsi="Times New Roman" w:eastAsia="宋体" w:cs="Times New Roman"/>
                <w:szCs w:val="22"/>
              </w:rPr>
            </w:pPr>
          </w:p>
        </w:tc>
        <w:tc>
          <w:tcPr>
            <w:tcW w:w="2027" w:type="dxa"/>
            <w:vAlign w:val="center"/>
          </w:tcPr>
          <w:p>
            <w:pPr>
              <w:jc w:val="center"/>
              <w:rPr>
                <w:rFonts w:ascii="Times New Roman" w:hAnsi="Times New Roman" w:eastAsia="宋体" w:cs="Times New Roman"/>
                <w:szCs w:val="22"/>
              </w:rPr>
            </w:pPr>
          </w:p>
        </w:tc>
        <w:tc>
          <w:tcPr>
            <w:tcW w:w="1734" w:type="dxa"/>
            <w:vAlign w:val="center"/>
          </w:tcPr>
          <w:p>
            <w:pPr>
              <w:jc w:val="center"/>
              <w:rPr>
                <w:rFonts w:ascii="Times New Roman" w:hAnsi="Times New Roman" w:eastAsia="宋体" w:cs="Times New Roman"/>
                <w:szCs w:val="22"/>
              </w:rPr>
            </w:pPr>
          </w:p>
        </w:tc>
        <w:tc>
          <w:tcPr>
            <w:tcW w:w="2481" w:type="dxa"/>
            <w:vAlign w:val="center"/>
          </w:tcPr>
          <w:p>
            <w:pPr>
              <w:jc w:val="center"/>
              <w:rPr>
                <w:rFonts w:ascii="Times New Roman" w:hAnsi="Times New Roman" w:eastAsia="宋体" w:cs="Times New Roman"/>
                <w:szCs w:val="22"/>
              </w:rPr>
            </w:pPr>
          </w:p>
        </w:tc>
        <w:tc>
          <w:tcPr>
            <w:tcW w:w="1828" w:type="dxa"/>
            <w:vAlign w:val="center"/>
          </w:tcPr>
          <w:p>
            <w:pPr>
              <w:jc w:val="center"/>
              <w:rPr>
                <w:rFonts w:ascii="Times New Roman" w:hAnsi="Times New Roman" w:eastAsia="宋体" w:cs="Times New Roman"/>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rPr>
        <w:tc>
          <w:tcPr>
            <w:tcW w:w="1500" w:type="dxa"/>
            <w:vMerge w:val="continue"/>
            <w:vAlign w:val="center"/>
          </w:tcPr>
          <w:p>
            <w:pPr>
              <w:jc w:val="center"/>
              <w:rPr>
                <w:rFonts w:ascii="Times New Roman" w:hAnsi="Times New Roman" w:eastAsia="宋体" w:cs="Times New Roman"/>
                <w:szCs w:val="22"/>
              </w:rPr>
            </w:pPr>
          </w:p>
        </w:tc>
        <w:tc>
          <w:tcPr>
            <w:tcW w:w="2027" w:type="dxa"/>
            <w:vAlign w:val="center"/>
          </w:tcPr>
          <w:p>
            <w:pPr>
              <w:jc w:val="center"/>
              <w:rPr>
                <w:rFonts w:ascii="Times New Roman" w:hAnsi="Times New Roman" w:eastAsia="宋体" w:cs="Times New Roman"/>
                <w:szCs w:val="22"/>
              </w:rPr>
            </w:pPr>
            <w:r>
              <w:rPr>
                <w:rFonts w:ascii="Times New Roman" w:hAnsi="Times New Roman" w:eastAsia="宋体" w:cs="Times New Roman"/>
                <w:szCs w:val="22"/>
              </w:rPr>
              <w:t>…</w:t>
            </w:r>
          </w:p>
        </w:tc>
        <w:tc>
          <w:tcPr>
            <w:tcW w:w="1734" w:type="dxa"/>
            <w:vAlign w:val="center"/>
          </w:tcPr>
          <w:p>
            <w:pPr>
              <w:jc w:val="center"/>
              <w:rPr>
                <w:rFonts w:ascii="Times New Roman" w:hAnsi="Times New Roman" w:eastAsia="宋体" w:cs="Times New Roman"/>
                <w:szCs w:val="22"/>
              </w:rPr>
            </w:pPr>
          </w:p>
        </w:tc>
        <w:tc>
          <w:tcPr>
            <w:tcW w:w="2481" w:type="dxa"/>
            <w:vAlign w:val="center"/>
          </w:tcPr>
          <w:p>
            <w:pPr>
              <w:jc w:val="center"/>
              <w:rPr>
                <w:rFonts w:ascii="Times New Roman" w:hAnsi="Times New Roman" w:eastAsia="宋体" w:cs="Times New Roman"/>
                <w:szCs w:val="22"/>
              </w:rPr>
            </w:pPr>
          </w:p>
        </w:tc>
        <w:tc>
          <w:tcPr>
            <w:tcW w:w="1828" w:type="dxa"/>
            <w:vAlign w:val="center"/>
          </w:tcPr>
          <w:p>
            <w:pPr>
              <w:jc w:val="center"/>
              <w:rPr>
                <w:rFonts w:ascii="Times New Roman" w:hAnsi="Times New Roman" w:eastAsia="宋体" w:cs="Times New Roman"/>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7742" w:type="dxa"/>
            <w:gridSpan w:val="4"/>
            <w:vAlign w:val="center"/>
          </w:tcPr>
          <w:p>
            <w:pPr>
              <w:jc w:val="center"/>
              <w:rPr>
                <w:rFonts w:ascii="Times New Roman" w:hAnsi="Times New Roman" w:cs="Times New Roman" w:eastAsiaTheme="minorEastAsia"/>
                <w:szCs w:val="22"/>
              </w:rPr>
            </w:pPr>
            <w:r>
              <w:rPr>
                <w:rFonts w:ascii="Times New Roman" w:hAnsi="Times New Roman" w:eastAsia="宋体" w:cs="Times New Roman"/>
                <w:szCs w:val="22"/>
              </w:rPr>
              <w:t>总排放量</w:t>
            </w:r>
          </w:p>
        </w:tc>
        <w:tc>
          <w:tcPr>
            <w:tcW w:w="1828" w:type="dxa"/>
            <w:vAlign w:val="center"/>
          </w:tcPr>
          <w:p>
            <w:pPr>
              <w:jc w:val="center"/>
              <w:rPr>
                <w:rFonts w:ascii="Times New Roman" w:hAnsi="Times New Roman" w:eastAsia="宋体" w:cs="Times New Roman"/>
                <w:szCs w:val="22"/>
              </w:rPr>
            </w:pPr>
          </w:p>
        </w:tc>
      </w:tr>
    </w:tbl>
    <w:p>
      <w:pPr>
        <w:spacing w:before="156" w:beforeLines="50" w:line="360" w:lineRule="auto"/>
        <w:rPr>
          <w:rFonts w:ascii="Times New Roman" w:hAnsi="Times New Roman"/>
          <w:sz w:val="24"/>
          <w:szCs w:val="28"/>
        </w:rPr>
      </w:pPr>
      <w:r>
        <w:rPr>
          <w:rFonts w:ascii="Times New Roman" w:hAnsi="Times New Roman"/>
          <w:sz w:val="24"/>
          <w:szCs w:val="28"/>
        </w:rPr>
        <w:t>（五）会展人员住宿</w:t>
      </w:r>
    </w:p>
    <w:p>
      <w:pPr>
        <w:spacing w:line="360" w:lineRule="auto"/>
        <w:ind w:firstLine="240" w:firstLineChars="100"/>
        <w:rPr>
          <w:rFonts w:ascii="Times New Roman" w:hAnsi="Times New Roman"/>
          <w:sz w:val="24"/>
          <w:szCs w:val="28"/>
        </w:rPr>
      </w:pPr>
      <w:r>
        <w:rPr>
          <w:rFonts w:ascii="Times New Roman" w:hAnsi="Times New Roman"/>
          <w:sz w:val="24"/>
          <w:szCs w:val="28"/>
        </w:rPr>
        <w:t>1、活动数据来源说明</w:t>
      </w:r>
    </w:p>
    <w:p>
      <w:pPr>
        <w:spacing w:line="360" w:lineRule="auto"/>
        <w:ind w:firstLine="240" w:firstLineChars="100"/>
        <w:rPr>
          <w:rFonts w:ascii="Times New Roman" w:hAnsi="Times New Roman"/>
          <w:sz w:val="24"/>
          <w:szCs w:val="28"/>
        </w:rPr>
      </w:pPr>
      <w:r>
        <w:rPr>
          <w:rFonts w:ascii="Times New Roman" w:hAnsi="Times New Roman"/>
          <w:sz w:val="24"/>
          <w:szCs w:val="28"/>
        </w:rPr>
        <w:t>2、排放因子选择说明</w:t>
      </w:r>
    </w:p>
    <w:p>
      <w:pPr>
        <w:spacing w:line="360" w:lineRule="auto"/>
        <w:ind w:firstLine="240" w:firstLineChars="100"/>
        <w:rPr>
          <w:rFonts w:ascii="Times New Roman" w:hAnsi="Times New Roman"/>
          <w:sz w:val="24"/>
          <w:szCs w:val="28"/>
        </w:rPr>
      </w:pPr>
      <w:r>
        <w:rPr>
          <w:rFonts w:ascii="Times New Roman" w:hAnsi="Times New Roman"/>
          <w:sz w:val="24"/>
          <w:szCs w:val="28"/>
        </w:rPr>
        <w:t>3、活动数据和排放因子确定</w:t>
      </w:r>
    </w:p>
    <w:tbl>
      <w:tblPr>
        <w:tblStyle w:val="233"/>
        <w:tblW w:w="95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4"/>
        <w:gridCol w:w="2548"/>
        <w:gridCol w:w="3091"/>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1814" w:type="dxa"/>
            <w:vAlign w:val="center"/>
          </w:tcPr>
          <w:p>
            <w:pPr>
              <w:jc w:val="center"/>
              <w:rPr>
                <w:rFonts w:ascii="Times New Roman" w:hAnsi="Times New Roman" w:eastAsia="宋体" w:cs="Times New Roman"/>
              </w:rPr>
            </w:pPr>
            <w:r>
              <w:rPr>
                <w:rFonts w:ascii="Times New Roman" w:hAnsi="Times New Roman" w:eastAsia="宋体" w:cs="Times New Roman"/>
              </w:rPr>
              <w:t>排放类型</w:t>
            </w:r>
          </w:p>
        </w:tc>
        <w:tc>
          <w:tcPr>
            <w:tcW w:w="2548" w:type="dxa"/>
            <w:vAlign w:val="center"/>
          </w:tcPr>
          <w:p>
            <w:pPr>
              <w:jc w:val="center"/>
              <w:rPr>
                <w:rFonts w:ascii="Times New Roman" w:hAnsi="Times New Roman" w:eastAsia="宋体" w:cs="Times New Roman"/>
              </w:rPr>
            </w:pPr>
            <w:r>
              <w:rPr>
                <w:rFonts w:ascii="Times New Roman" w:hAnsi="Times New Roman" w:eastAsia="宋体" w:cs="Times New Roman"/>
              </w:rPr>
              <w:t>间·晚</w:t>
            </w:r>
          </w:p>
        </w:tc>
        <w:tc>
          <w:tcPr>
            <w:tcW w:w="3091" w:type="dxa"/>
            <w:vAlign w:val="center"/>
          </w:tcPr>
          <w:p>
            <w:pPr>
              <w:jc w:val="center"/>
              <w:rPr>
                <w:rFonts w:ascii="Times New Roman" w:hAnsi="Times New Roman" w:eastAsia="宋体" w:cs="Times New Roman"/>
              </w:rPr>
            </w:pPr>
            <w:r>
              <w:rPr>
                <w:rFonts w:ascii="Times New Roman" w:hAnsi="Times New Roman" w:eastAsia="宋体" w:cs="Times New Roman"/>
              </w:rPr>
              <w:t>排放因子（kgCO</w:t>
            </w:r>
            <w:r>
              <w:rPr>
                <w:rFonts w:ascii="Times New Roman" w:hAnsi="Times New Roman" w:eastAsia="宋体" w:cs="Times New Roman"/>
                <w:vertAlign w:val="subscript"/>
              </w:rPr>
              <w:t>2</w:t>
            </w:r>
            <w:r>
              <w:rPr>
                <w:rFonts w:ascii="Times New Roman" w:hAnsi="Times New Roman" w:eastAsia="宋体" w:cs="Times New Roman"/>
              </w:rPr>
              <w:t>/间•晚)</w:t>
            </w:r>
          </w:p>
        </w:tc>
        <w:tc>
          <w:tcPr>
            <w:tcW w:w="2117" w:type="dxa"/>
            <w:vAlign w:val="center"/>
          </w:tcPr>
          <w:p>
            <w:pPr>
              <w:jc w:val="center"/>
              <w:rPr>
                <w:rFonts w:ascii="Times New Roman" w:hAnsi="Times New Roman" w:eastAsia="宋体" w:cs="Times New Roman"/>
              </w:rPr>
            </w:pPr>
            <w:r>
              <w:rPr>
                <w:rFonts w:ascii="Times New Roman" w:hAnsi="Times New Roman" w:eastAsia="宋体" w:cs="Times New Roman"/>
              </w:rPr>
              <w:t>排放量（tCO</w:t>
            </w:r>
            <w:r>
              <w:rPr>
                <w:rFonts w:ascii="Times New Roman" w:hAnsi="Times New Roman" w:eastAsia="宋体" w:cs="Times New Roman"/>
                <w:vertAlign w:val="subscript"/>
              </w:rPr>
              <w:t>2</w:t>
            </w:r>
            <w:r>
              <w:rPr>
                <w:rFonts w:ascii="Times New Roman" w:hAnsi="Times New Roman" w:eastAsia="宋体" w:cs="Times New Roman"/>
              </w:rPr>
              <w: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1814" w:type="dxa"/>
            <w:vAlign w:val="center"/>
          </w:tcPr>
          <w:p>
            <w:pPr>
              <w:jc w:val="center"/>
              <w:rPr>
                <w:rFonts w:ascii="Times New Roman" w:hAnsi="Times New Roman" w:eastAsia="宋体" w:cs="Times New Roman"/>
              </w:rPr>
            </w:pPr>
            <w:r>
              <w:rPr>
                <w:rFonts w:ascii="Times New Roman" w:hAnsi="Times New Roman" w:eastAsia="宋体" w:cs="Times New Roman"/>
              </w:rPr>
              <w:t>住宿排放</w:t>
            </w:r>
          </w:p>
        </w:tc>
        <w:tc>
          <w:tcPr>
            <w:tcW w:w="2548" w:type="dxa"/>
            <w:vAlign w:val="center"/>
          </w:tcPr>
          <w:p>
            <w:pPr>
              <w:jc w:val="center"/>
              <w:rPr>
                <w:rFonts w:ascii="Times New Roman" w:hAnsi="Times New Roman" w:eastAsia="宋体" w:cs="Times New Roman"/>
              </w:rPr>
            </w:pPr>
          </w:p>
        </w:tc>
        <w:tc>
          <w:tcPr>
            <w:tcW w:w="3091" w:type="dxa"/>
            <w:vAlign w:val="center"/>
          </w:tcPr>
          <w:p>
            <w:pPr>
              <w:jc w:val="center"/>
              <w:rPr>
                <w:rFonts w:ascii="Times New Roman" w:hAnsi="Times New Roman" w:eastAsia="宋体" w:cs="Times New Roman"/>
              </w:rPr>
            </w:pPr>
          </w:p>
        </w:tc>
        <w:tc>
          <w:tcPr>
            <w:tcW w:w="2117" w:type="dxa"/>
            <w:vAlign w:val="center"/>
          </w:tcPr>
          <w:p>
            <w:pPr>
              <w:jc w:val="center"/>
              <w:rPr>
                <w:rFonts w:ascii="Times New Roman" w:hAnsi="Times New Roman" w:eastAsia="宋体" w:cs="Times New Roman"/>
              </w:rPr>
            </w:pPr>
          </w:p>
        </w:tc>
      </w:tr>
    </w:tbl>
    <w:p>
      <w:pPr>
        <w:spacing w:before="156" w:beforeLines="50" w:after="156" w:afterLines="50" w:line="360" w:lineRule="auto"/>
        <w:rPr>
          <w:rFonts w:ascii="Times New Roman" w:hAnsi="Times New Roman"/>
          <w:sz w:val="24"/>
          <w:szCs w:val="28"/>
        </w:rPr>
      </w:pPr>
      <w:r>
        <w:rPr>
          <w:rFonts w:ascii="Times New Roman" w:hAnsi="Times New Roman"/>
          <w:sz w:val="24"/>
          <w:szCs w:val="28"/>
        </w:rPr>
        <w:t>（六）会展活动会展人员餐饮</w:t>
      </w:r>
    </w:p>
    <w:p>
      <w:pPr>
        <w:spacing w:before="156" w:beforeLines="50" w:after="156" w:afterLines="50" w:line="360" w:lineRule="auto"/>
        <w:ind w:firstLine="240" w:firstLineChars="100"/>
        <w:rPr>
          <w:rFonts w:ascii="Times New Roman" w:hAnsi="Times New Roman"/>
          <w:sz w:val="24"/>
          <w:szCs w:val="28"/>
        </w:rPr>
      </w:pPr>
      <w:r>
        <w:rPr>
          <w:rFonts w:ascii="Times New Roman" w:hAnsi="Times New Roman"/>
          <w:sz w:val="24"/>
          <w:szCs w:val="28"/>
        </w:rPr>
        <w:t>1、活动数据来源说明</w:t>
      </w:r>
    </w:p>
    <w:p>
      <w:pPr>
        <w:spacing w:before="156" w:beforeLines="50" w:after="156" w:afterLines="50" w:line="360" w:lineRule="auto"/>
        <w:ind w:firstLine="240" w:firstLineChars="100"/>
        <w:rPr>
          <w:rFonts w:ascii="Times New Roman" w:hAnsi="Times New Roman"/>
          <w:sz w:val="24"/>
          <w:szCs w:val="28"/>
        </w:rPr>
      </w:pPr>
      <w:r>
        <w:rPr>
          <w:rFonts w:ascii="Times New Roman" w:hAnsi="Times New Roman"/>
          <w:sz w:val="24"/>
          <w:szCs w:val="28"/>
        </w:rPr>
        <w:t>2、排放因子选择说明</w:t>
      </w:r>
    </w:p>
    <w:p>
      <w:pPr>
        <w:spacing w:before="156" w:beforeLines="50" w:after="156" w:afterLines="50" w:line="360" w:lineRule="auto"/>
        <w:ind w:firstLine="240" w:firstLineChars="100"/>
        <w:rPr>
          <w:rFonts w:ascii="Times New Roman" w:hAnsi="Times New Roman"/>
          <w:sz w:val="24"/>
          <w:szCs w:val="28"/>
        </w:rPr>
      </w:pPr>
      <w:r>
        <w:rPr>
          <w:rFonts w:ascii="Times New Roman" w:hAnsi="Times New Roman"/>
          <w:sz w:val="24"/>
          <w:szCs w:val="28"/>
        </w:rPr>
        <w:t>3、活动数据和排放因子确定</w:t>
      </w:r>
    </w:p>
    <w:p>
      <w:pPr>
        <w:spacing w:before="156" w:beforeLines="50" w:line="360" w:lineRule="auto"/>
        <w:rPr>
          <w:rFonts w:ascii="Times New Roman" w:hAnsi="Times New Roman"/>
          <w:sz w:val="24"/>
          <w:szCs w:val="28"/>
        </w:rPr>
      </w:pPr>
      <w:r>
        <w:rPr>
          <w:rFonts w:ascii="Times New Roman" w:hAnsi="Times New Roman"/>
          <w:sz w:val="24"/>
          <w:szCs w:val="28"/>
        </w:rPr>
        <w:t>（七）会展用品隐含碳排放</w:t>
      </w:r>
    </w:p>
    <w:p>
      <w:pPr>
        <w:spacing w:line="360" w:lineRule="auto"/>
        <w:ind w:firstLine="240" w:firstLineChars="100"/>
        <w:rPr>
          <w:rFonts w:ascii="Times New Roman" w:hAnsi="Times New Roman"/>
          <w:sz w:val="24"/>
          <w:szCs w:val="28"/>
        </w:rPr>
      </w:pPr>
      <w:r>
        <w:rPr>
          <w:rFonts w:ascii="Times New Roman" w:hAnsi="Times New Roman"/>
          <w:sz w:val="24"/>
          <w:szCs w:val="28"/>
        </w:rPr>
        <w:t>1、活动数据来源说明</w:t>
      </w:r>
    </w:p>
    <w:p>
      <w:pPr>
        <w:spacing w:line="360" w:lineRule="auto"/>
        <w:ind w:firstLine="240" w:firstLineChars="100"/>
        <w:rPr>
          <w:rFonts w:ascii="Times New Roman" w:hAnsi="Times New Roman"/>
          <w:sz w:val="24"/>
          <w:szCs w:val="28"/>
        </w:rPr>
      </w:pPr>
      <w:r>
        <w:rPr>
          <w:rFonts w:ascii="Times New Roman" w:hAnsi="Times New Roman"/>
          <w:sz w:val="24"/>
          <w:szCs w:val="28"/>
        </w:rPr>
        <w:t>2、排放因子选择说明</w:t>
      </w:r>
    </w:p>
    <w:p>
      <w:pPr>
        <w:spacing w:line="360" w:lineRule="auto"/>
        <w:ind w:firstLine="240" w:firstLineChars="100"/>
        <w:rPr>
          <w:rFonts w:ascii="Times New Roman" w:hAnsi="Times New Roman"/>
          <w:sz w:val="24"/>
          <w:szCs w:val="28"/>
        </w:rPr>
      </w:pPr>
      <w:r>
        <w:rPr>
          <w:rFonts w:ascii="Times New Roman" w:hAnsi="Times New Roman"/>
          <w:sz w:val="24"/>
          <w:szCs w:val="28"/>
        </w:rPr>
        <w:t>3、活动数据和排放因子确定</w:t>
      </w:r>
    </w:p>
    <w:p>
      <w:pPr>
        <w:spacing w:line="360" w:lineRule="auto"/>
        <w:rPr>
          <w:rFonts w:ascii="Times New Roman" w:hAnsi="Times New Roman"/>
          <w:sz w:val="24"/>
          <w:szCs w:val="28"/>
        </w:rPr>
      </w:pPr>
      <w:r>
        <w:rPr>
          <w:rFonts w:ascii="Times New Roman" w:hAnsi="Times New Roman"/>
          <w:sz w:val="24"/>
          <w:szCs w:val="28"/>
        </w:rPr>
        <w:t>（八）废弃物处理</w:t>
      </w:r>
    </w:p>
    <w:p>
      <w:pPr>
        <w:spacing w:line="360" w:lineRule="auto"/>
        <w:ind w:firstLine="240" w:firstLineChars="100"/>
        <w:rPr>
          <w:rFonts w:ascii="Times New Roman" w:hAnsi="Times New Roman"/>
          <w:sz w:val="24"/>
          <w:szCs w:val="28"/>
        </w:rPr>
      </w:pPr>
      <w:r>
        <w:rPr>
          <w:rFonts w:ascii="Times New Roman" w:hAnsi="Times New Roman"/>
          <w:sz w:val="24"/>
          <w:szCs w:val="28"/>
        </w:rPr>
        <w:t>1、活动数据来源说明</w:t>
      </w:r>
    </w:p>
    <w:p>
      <w:pPr>
        <w:spacing w:line="360" w:lineRule="auto"/>
        <w:ind w:firstLine="240" w:firstLineChars="100"/>
        <w:rPr>
          <w:rFonts w:ascii="Times New Roman" w:hAnsi="Times New Roman"/>
          <w:sz w:val="24"/>
          <w:szCs w:val="28"/>
        </w:rPr>
      </w:pPr>
      <w:r>
        <w:rPr>
          <w:rFonts w:ascii="Times New Roman" w:hAnsi="Times New Roman"/>
          <w:sz w:val="24"/>
          <w:szCs w:val="28"/>
        </w:rPr>
        <w:t>2、排放因子选择说明</w:t>
      </w:r>
    </w:p>
    <w:p>
      <w:pPr>
        <w:spacing w:line="360" w:lineRule="auto"/>
        <w:ind w:firstLine="240" w:firstLineChars="100"/>
        <w:rPr>
          <w:rFonts w:ascii="Times New Roman" w:hAnsi="Times New Roman"/>
          <w:sz w:val="24"/>
          <w:szCs w:val="28"/>
        </w:rPr>
      </w:pPr>
      <w:r>
        <w:rPr>
          <w:rFonts w:ascii="Times New Roman" w:hAnsi="Times New Roman"/>
          <w:sz w:val="24"/>
          <w:szCs w:val="28"/>
        </w:rPr>
        <w:t>3、活动数据和排放因子确定</w:t>
      </w:r>
    </w:p>
    <w:p>
      <w:pPr>
        <w:spacing w:before="156" w:beforeLines="50" w:after="156" w:afterLines="50" w:line="360" w:lineRule="auto"/>
        <w:rPr>
          <w:rFonts w:ascii="Times New Roman" w:hAnsi="Times New Roman"/>
          <w:sz w:val="24"/>
          <w:szCs w:val="28"/>
        </w:rPr>
      </w:pPr>
      <w:r>
        <w:rPr>
          <w:rFonts w:ascii="Times New Roman" w:hAnsi="Times New Roman"/>
          <w:sz w:val="24"/>
          <w:szCs w:val="28"/>
        </w:rPr>
        <w:t>四、核算结果</w:t>
      </w:r>
    </w:p>
    <w:tbl>
      <w:tblPr>
        <w:tblStyle w:val="233"/>
        <w:tblW w:w="95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99"/>
        <w:gridCol w:w="4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4799" w:type="dxa"/>
            <w:vAlign w:val="center"/>
          </w:tcPr>
          <w:p>
            <w:pPr>
              <w:jc w:val="center"/>
              <w:rPr>
                <w:rFonts w:ascii="Times New Roman" w:hAnsi="Times New Roman" w:eastAsia="宋体" w:cs="Times New Roman"/>
              </w:rPr>
            </w:pPr>
            <w:r>
              <w:rPr>
                <w:rFonts w:ascii="Times New Roman" w:hAnsi="Times New Roman" w:eastAsia="宋体" w:cs="Times New Roman"/>
              </w:rPr>
              <w:t>排放源源类别</w:t>
            </w:r>
          </w:p>
        </w:tc>
        <w:tc>
          <w:tcPr>
            <w:tcW w:w="4800" w:type="dxa"/>
            <w:vAlign w:val="center"/>
          </w:tcPr>
          <w:p>
            <w:pPr>
              <w:jc w:val="center"/>
              <w:rPr>
                <w:rFonts w:ascii="Times New Roman" w:hAnsi="Times New Roman" w:eastAsia="宋体" w:cs="Times New Roman"/>
                <w:vertAlign w:val="subscript"/>
              </w:rPr>
            </w:pPr>
            <w:r>
              <w:rPr>
                <w:rFonts w:ascii="Times New Roman" w:hAnsi="Times New Roman" w:eastAsia="宋体" w:cs="Times New Roman"/>
              </w:rPr>
              <w:t>温室气体排放量（tCO</w:t>
            </w:r>
            <w:r>
              <w:rPr>
                <w:rFonts w:ascii="Times New Roman" w:hAnsi="Times New Roman" w:eastAsia="宋体" w:cs="Times New Roman"/>
                <w:vertAlign w:val="subscript"/>
              </w:rPr>
              <w:t>2</w:t>
            </w:r>
            <w:r>
              <w:rPr>
                <w:rFonts w:ascii="Times New Roman" w:hAnsi="Times New Roman" w:eastAsia="宋体" w:cs="Times New Roman"/>
              </w:rPr>
              <w:t>e）</w:t>
            </w:r>
          </w:p>
          <w:p>
            <w:pPr>
              <w:rPr>
                <w:rFonts w:ascii="Times New Roman" w:hAnsi="Times New Roman" w:eastAsia="宋体" w:cs="Times New Roman"/>
              </w:rPr>
            </w:pPr>
            <w:r>
              <w:rPr>
                <w:rFonts w:ascii="Times New Roman" w:hAnsi="Times New Roman" w:eastAsia="宋体" w:cs="Times New Roma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4799" w:type="dxa"/>
            <w:vAlign w:val="center"/>
          </w:tcPr>
          <w:p>
            <w:pPr>
              <w:rPr>
                <w:rFonts w:ascii="Times New Roman" w:hAnsi="Times New Roman" w:eastAsia="宋体" w:cs="Times New Roman"/>
              </w:rPr>
            </w:pPr>
            <w:r>
              <w:rPr>
                <w:rFonts w:ascii="Times New Roman" w:hAnsi="Times New Roman" w:eastAsia="宋体" w:cs="Times New Roman"/>
              </w:rPr>
              <w:t>燃料燃烧CO</w:t>
            </w:r>
            <w:r>
              <w:rPr>
                <w:rFonts w:ascii="Times New Roman" w:hAnsi="Times New Roman" w:eastAsia="宋体" w:cs="Times New Roman"/>
                <w:vertAlign w:val="subscript"/>
              </w:rPr>
              <w:t>2</w:t>
            </w:r>
            <w:r>
              <w:rPr>
                <w:rFonts w:ascii="Times New Roman" w:hAnsi="Times New Roman" w:eastAsia="宋体" w:cs="Times New Roman"/>
              </w:rPr>
              <w:t>排放量</w:t>
            </w:r>
          </w:p>
        </w:tc>
        <w:tc>
          <w:tcPr>
            <w:tcW w:w="4800" w:type="dxa"/>
            <w:vAlign w:val="center"/>
          </w:tcPr>
          <w:p>
            <w:pPr>
              <w:rPr>
                <w:rFonts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4799" w:type="dxa"/>
            <w:vAlign w:val="center"/>
          </w:tcPr>
          <w:p>
            <w:pPr>
              <w:rPr>
                <w:rFonts w:ascii="Times New Roman" w:hAnsi="Times New Roman" w:eastAsia="宋体" w:cs="Times New Roman"/>
              </w:rPr>
            </w:pPr>
            <w:r>
              <w:rPr>
                <w:rFonts w:ascii="Times New Roman" w:hAnsi="Times New Roman" w:eastAsia="宋体" w:cs="Times New Roman"/>
              </w:rPr>
              <w:t>净购入电力产生的CO</w:t>
            </w:r>
            <w:r>
              <w:rPr>
                <w:rFonts w:ascii="Times New Roman" w:hAnsi="Times New Roman" w:eastAsia="宋体" w:cs="Times New Roman"/>
                <w:vertAlign w:val="subscript"/>
              </w:rPr>
              <w:t>2</w:t>
            </w:r>
            <w:r>
              <w:rPr>
                <w:rFonts w:ascii="Times New Roman" w:hAnsi="Times New Roman" w:eastAsia="宋体" w:cs="Times New Roman"/>
              </w:rPr>
              <w:t>排放量</w:t>
            </w:r>
          </w:p>
        </w:tc>
        <w:tc>
          <w:tcPr>
            <w:tcW w:w="4800" w:type="dxa"/>
            <w:vAlign w:val="center"/>
          </w:tcPr>
          <w:p>
            <w:pPr>
              <w:rPr>
                <w:rFonts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4799" w:type="dxa"/>
            <w:vAlign w:val="center"/>
          </w:tcPr>
          <w:p>
            <w:pPr>
              <w:rPr>
                <w:rFonts w:ascii="Times New Roman" w:hAnsi="Times New Roman" w:eastAsia="宋体" w:cs="Times New Roman"/>
              </w:rPr>
            </w:pPr>
            <w:r>
              <w:rPr>
                <w:rFonts w:ascii="Times New Roman" w:hAnsi="Times New Roman" w:eastAsia="宋体" w:cs="Times New Roman"/>
              </w:rPr>
              <w:t>净购入热力产生的CO</w:t>
            </w:r>
            <w:r>
              <w:rPr>
                <w:rFonts w:ascii="Times New Roman" w:hAnsi="Times New Roman" w:eastAsia="宋体" w:cs="Times New Roman"/>
                <w:vertAlign w:val="subscript"/>
              </w:rPr>
              <w:t>2</w:t>
            </w:r>
            <w:r>
              <w:rPr>
                <w:rFonts w:ascii="Times New Roman" w:hAnsi="Times New Roman" w:eastAsia="宋体" w:cs="Times New Roman"/>
              </w:rPr>
              <w:t>排放量</w:t>
            </w:r>
          </w:p>
        </w:tc>
        <w:tc>
          <w:tcPr>
            <w:tcW w:w="4800" w:type="dxa"/>
            <w:vAlign w:val="center"/>
          </w:tcPr>
          <w:p>
            <w:pPr>
              <w:rPr>
                <w:rFonts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rPr>
        <w:tc>
          <w:tcPr>
            <w:tcW w:w="4799" w:type="dxa"/>
            <w:vAlign w:val="center"/>
          </w:tcPr>
          <w:p>
            <w:pPr>
              <w:rPr>
                <w:rFonts w:ascii="Times New Roman" w:hAnsi="Times New Roman" w:eastAsia="宋体" w:cs="Times New Roman"/>
              </w:rPr>
            </w:pPr>
            <w:r>
              <w:rPr>
                <w:rFonts w:ascii="Times New Roman" w:hAnsi="Times New Roman" w:eastAsia="宋体" w:cs="Times New Roman"/>
              </w:rPr>
              <w:t>会展人员往返交通CO</w:t>
            </w:r>
            <w:r>
              <w:rPr>
                <w:rFonts w:ascii="Times New Roman" w:hAnsi="Times New Roman" w:eastAsia="宋体" w:cs="Times New Roman"/>
                <w:vertAlign w:val="subscript"/>
              </w:rPr>
              <w:t>2</w:t>
            </w:r>
            <w:r>
              <w:rPr>
                <w:rFonts w:ascii="Times New Roman" w:hAnsi="Times New Roman" w:eastAsia="宋体" w:cs="Times New Roman"/>
              </w:rPr>
              <w:t>排放量</w:t>
            </w:r>
          </w:p>
        </w:tc>
        <w:tc>
          <w:tcPr>
            <w:tcW w:w="4800" w:type="dxa"/>
            <w:vAlign w:val="center"/>
          </w:tcPr>
          <w:p>
            <w:pPr>
              <w:rPr>
                <w:rFonts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4799" w:type="dxa"/>
            <w:vAlign w:val="center"/>
          </w:tcPr>
          <w:p>
            <w:pPr>
              <w:rPr>
                <w:rFonts w:ascii="Times New Roman" w:hAnsi="Times New Roman" w:eastAsia="宋体" w:cs="Times New Roman"/>
              </w:rPr>
            </w:pPr>
            <w:r>
              <w:rPr>
                <w:rFonts w:ascii="Times New Roman" w:hAnsi="Times New Roman" w:eastAsia="宋体" w:cs="Times New Roman"/>
              </w:rPr>
              <w:t>会展人员酒店住宿CO</w:t>
            </w:r>
            <w:r>
              <w:rPr>
                <w:rFonts w:ascii="Times New Roman" w:hAnsi="Times New Roman" w:eastAsia="宋体" w:cs="Times New Roman"/>
                <w:vertAlign w:val="subscript"/>
              </w:rPr>
              <w:t>2</w:t>
            </w:r>
            <w:r>
              <w:rPr>
                <w:rFonts w:ascii="Times New Roman" w:hAnsi="Times New Roman" w:eastAsia="宋体" w:cs="Times New Roman"/>
              </w:rPr>
              <w:t>排放量</w:t>
            </w:r>
          </w:p>
        </w:tc>
        <w:tc>
          <w:tcPr>
            <w:tcW w:w="4800" w:type="dxa"/>
            <w:vAlign w:val="center"/>
          </w:tcPr>
          <w:p>
            <w:pPr>
              <w:rPr>
                <w:rFonts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4799" w:type="dxa"/>
            <w:vAlign w:val="center"/>
          </w:tcPr>
          <w:p>
            <w:pPr>
              <w:rPr>
                <w:rFonts w:ascii="Times New Roman" w:hAnsi="Times New Roman" w:eastAsia="宋体" w:cs="Times New Roman"/>
              </w:rPr>
            </w:pPr>
            <w:r>
              <w:rPr>
                <w:rFonts w:ascii="Times New Roman" w:hAnsi="Times New Roman" w:eastAsia="宋体" w:cs="Times New Roman"/>
              </w:rPr>
              <w:t>会展人员餐饮CO</w:t>
            </w:r>
            <w:r>
              <w:rPr>
                <w:rFonts w:ascii="Times New Roman" w:hAnsi="Times New Roman" w:eastAsia="宋体" w:cs="Times New Roman"/>
                <w:vertAlign w:val="subscript"/>
              </w:rPr>
              <w:t>2</w:t>
            </w:r>
            <w:r>
              <w:rPr>
                <w:rFonts w:ascii="Times New Roman" w:hAnsi="Times New Roman" w:eastAsia="宋体" w:cs="Times New Roman"/>
              </w:rPr>
              <w:t>排放量</w:t>
            </w:r>
          </w:p>
        </w:tc>
        <w:tc>
          <w:tcPr>
            <w:tcW w:w="4800" w:type="dxa"/>
            <w:vAlign w:val="center"/>
          </w:tcPr>
          <w:p>
            <w:pPr>
              <w:rPr>
                <w:rFonts w:ascii="Times New Roman" w:hAnsi="Times New Roman" w:eastAsia="宋体"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4799" w:type="dxa"/>
            <w:vAlign w:val="center"/>
          </w:tcPr>
          <w:p>
            <w:pPr>
              <w:rPr>
                <w:rFonts w:ascii="Times New Roman" w:hAnsi="Times New Roman" w:cs="Times New Roman" w:eastAsiaTheme="minorEastAsia"/>
              </w:rPr>
            </w:pPr>
            <w:r>
              <w:rPr>
                <w:rFonts w:ascii="Times New Roman" w:hAnsi="Times New Roman" w:eastAsia="宋体" w:cs="Times New Roman"/>
              </w:rPr>
              <w:t>会展用品隐含的碳排放量</w:t>
            </w:r>
          </w:p>
        </w:tc>
        <w:tc>
          <w:tcPr>
            <w:tcW w:w="4800" w:type="dxa"/>
            <w:vAlign w:val="center"/>
          </w:tcPr>
          <w:p>
            <w:pPr>
              <w:rPr>
                <w:rFonts w:ascii="Times New Roman" w:hAnsi="Times New Roman" w:cs="Times New Roman"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rPr>
        <w:tc>
          <w:tcPr>
            <w:tcW w:w="4799" w:type="dxa"/>
            <w:vAlign w:val="center"/>
          </w:tcPr>
          <w:p>
            <w:pPr>
              <w:rPr>
                <w:rFonts w:ascii="Times New Roman" w:hAnsi="Times New Roman" w:cs="Times New Roman" w:eastAsiaTheme="minorEastAsia"/>
              </w:rPr>
            </w:pPr>
            <w:r>
              <w:rPr>
                <w:rFonts w:ascii="Times New Roman" w:hAnsi="Times New Roman" w:eastAsia="宋体" w:cs="Times New Roman"/>
              </w:rPr>
              <w:t>会展活动温室气体排放总量</w:t>
            </w:r>
          </w:p>
        </w:tc>
        <w:tc>
          <w:tcPr>
            <w:tcW w:w="4800" w:type="dxa"/>
            <w:vAlign w:val="center"/>
          </w:tcPr>
          <w:p>
            <w:pPr>
              <w:rPr>
                <w:rFonts w:ascii="Times New Roman" w:hAnsi="Times New Roman" w:cs="Times New Roman" w:eastAsiaTheme="minorEastAsia"/>
              </w:rPr>
            </w:pPr>
          </w:p>
        </w:tc>
      </w:tr>
    </w:tbl>
    <w:p>
      <w:pPr>
        <w:spacing w:line="360" w:lineRule="auto"/>
        <w:rPr>
          <w:rFonts w:ascii="Times New Roman" w:hAnsi="Times New Roman"/>
          <w:sz w:val="24"/>
          <w:szCs w:val="28"/>
        </w:rPr>
      </w:pPr>
    </w:p>
    <w:p>
      <w:pPr>
        <w:spacing w:line="360" w:lineRule="auto"/>
        <w:rPr>
          <w:rFonts w:ascii="Times New Roman" w:hAnsi="Times New Roman"/>
          <w:sz w:val="28"/>
          <w:szCs w:val="28"/>
        </w:rPr>
        <w:sectPr>
          <w:pgSz w:w="11906" w:h="16838"/>
          <w:pgMar w:top="1928" w:right="1134" w:bottom="1134" w:left="1134" w:header="1418" w:footer="1134" w:gutter="284"/>
          <w:cols w:space="425" w:num="1"/>
          <w:formProt w:val="0"/>
          <w:docGrid w:type="lines" w:linePitch="312" w:charSpace="0"/>
        </w:sectPr>
      </w:pPr>
    </w:p>
    <w:p>
      <w:pPr>
        <w:pStyle w:val="64"/>
        <w:spacing w:after="156"/>
      </w:pPr>
      <w:bookmarkStart w:id="79" w:name="_Toc111814594"/>
      <w:bookmarkStart w:id="80" w:name="BookMark6"/>
      <w:r>
        <w:rPr>
          <w:rFonts w:hint="eastAsia"/>
          <w:spacing w:val="105"/>
        </w:rPr>
        <w:t>参考文</w:t>
      </w:r>
      <w:r>
        <w:rPr>
          <w:rFonts w:hint="eastAsia"/>
        </w:rPr>
        <w:t>献</w:t>
      </w:r>
      <w:bookmarkEnd w:id="79"/>
    </w:p>
    <w:p>
      <w:pPr>
        <w:pStyle w:val="57"/>
        <w:ind w:firstLine="0" w:firstLineChars="0"/>
      </w:pPr>
      <w:r>
        <w:rPr>
          <w:rFonts w:hint="eastAsia"/>
        </w:rPr>
        <w:t xml:space="preserve">    [1] GB/T 17167 用能单位能源计量器具配备和管理通则</w:t>
      </w:r>
    </w:p>
    <w:p>
      <w:pPr>
        <w:pStyle w:val="57"/>
        <w:ind w:firstLine="420"/>
      </w:pPr>
      <w:r>
        <w:rPr>
          <w:rFonts w:hint="eastAsia"/>
        </w:rPr>
        <w:t xml:space="preserve">[2] </w:t>
      </w:r>
      <w:r>
        <w:t>DB5101/T41-2018</w:t>
      </w:r>
      <w:r>
        <w:rPr>
          <w:rFonts w:hint="eastAsia"/>
        </w:rPr>
        <w:t xml:space="preserve"> 成都市会展活动碳足迹核算与碳中和实施指南</w:t>
      </w:r>
    </w:p>
    <w:p>
      <w:pPr>
        <w:pStyle w:val="57"/>
        <w:ind w:firstLine="0" w:firstLineChars="0"/>
      </w:pPr>
      <w:r>
        <w:rPr>
          <w:rFonts w:hint="eastAsia"/>
        </w:rPr>
        <w:t xml:space="preserve">    [3] 生态环境部关于发布《大型活动碳中和实施指南（试行）》的公告(公告2019年第19号)</w:t>
      </w:r>
    </w:p>
    <w:p>
      <w:pPr>
        <w:pStyle w:val="57"/>
        <w:ind w:firstLine="420"/>
      </w:pPr>
      <w:r>
        <w:rPr>
          <w:rFonts w:hint="eastAsia"/>
        </w:rPr>
        <w:t>[4] 国家发展改革委办公厅关于印发省级温室气体清单编制指南（试行）的通知（发改办气候〔2011〕1041号）</w:t>
      </w:r>
    </w:p>
    <w:p>
      <w:pPr>
        <w:pStyle w:val="57"/>
        <w:ind w:firstLine="420"/>
      </w:pPr>
      <w:r>
        <w:rPr>
          <w:rFonts w:hint="eastAsia"/>
        </w:rPr>
        <w:t>[5] ISO 14064-1 温室气体 第1部分:组织层次上对温室气体排放和清除的量化和报告的规范及指南（Greenhous gases-Part 1: Specification with guidance at the organization level for quantification and reporting of greenhouse gas emissions and removals )</w:t>
      </w:r>
    </w:p>
    <w:bookmarkEnd w:id="80"/>
    <w:p>
      <w:pPr>
        <w:pStyle w:val="57"/>
        <w:ind w:firstLine="0" w:firstLineChars="0"/>
        <w:jc w:val="center"/>
      </w:pPr>
      <w:bookmarkStart w:id="81" w:name="BookMark8"/>
      <w:r>
        <w:drawing>
          <wp:inline distT="0" distB="0" distL="0" distR="0">
            <wp:extent cx="1485900" cy="317500"/>
            <wp:effectExtent l="0" t="0" r="0" b="6350"/>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8"/>
                    <a:stretch>
                      <a:fillRect/>
                    </a:stretch>
                  </pic:blipFill>
                  <pic:spPr>
                    <a:xfrm>
                      <a:off x="0" y="0"/>
                      <a:ext cx="1485900" cy="317500"/>
                    </a:xfrm>
                    <a:prstGeom prst="rect">
                      <a:avLst/>
                    </a:prstGeom>
                  </pic:spPr>
                </pic:pic>
              </a:graphicData>
            </a:graphic>
          </wp:inline>
        </w:drawing>
      </w:r>
      <w:bookmarkEnd w:id="81"/>
    </w:p>
    <w:sectPr>
      <w:pgSz w:w="11906" w:h="16838"/>
      <w:pgMar w:top="1928" w:right="1134" w:bottom="1134" w:left="1134" w:header="1418" w:footer="1134" w:gutter="284"/>
      <w:cols w:space="425" w:num="1"/>
      <w:formProt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panose1 w:val="020B0603030804020204"/>
    <w:charset w:val="00"/>
    <w:family w:val="roman"/>
    <w:pitch w:val="default"/>
    <w:sig w:usb0="E7006EFF" w:usb1="D200FDFF" w:usb2="0A246029" w:usb3="0400200C" w:csb0="600001FF" w:csb1="DFFF0000"/>
  </w:font>
  <w:font w:name="方正书宋_GBK">
    <w:altName w:val="方正宋体S-超大字符集"/>
    <w:panose1 w:val="02000000000000000000"/>
    <w:charset w:val="86"/>
    <w:family w:val="auto"/>
    <w:pitch w:val="default"/>
    <w:sig w:usb0="00000001" w:usb1="08000000" w:usb2="00000000" w:usb3="00000000" w:csb0="00040000" w:csb1="00000000"/>
  </w:font>
  <w:font w:name="方正黑体_GBK">
    <w:altName w:val="思源黑体 CN"/>
    <w:panose1 w:val="02000000000000000000"/>
    <w:charset w:val="00"/>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方正宋体S-超大字符集">
    <w:panose1 w:val="02000000000000000000"/>
    <w:charset w:val="86"/>
    <w:family w:val="auto"/>
    <w:pitch w:val="default"/>
    <w:sig w:usb0="00000001" w:usb1="08000000" w:usb2="00000000" w:usb3="00000000" w:csb0="00040000" w:csb1="00000000"/>
  </w:font>
  <w:font w:name="思源黑体 CN">
    <w:panose1 w:val="020B0600000000000000"/>
    <w:charset w:val="86"/>
    <w:family w:val="auto"/>
    <w:pitch w:val="default"/>
    <w:sig w:usb0="20000003" w:usb1="2ADF3C10" w:usb2="00000016" w:usb3="00000000" w:csb0="60060107" w:csb1="00000000"/>
  </w:font>
  <w:font w:name="Arial">
    <w:altName w:val="DejaVu Sans"/>
    <w:panose1 w:val="020B0604020202020204"/>
    <w:charset w:val="00"/>
    <w:family w:val="swiss"/>
    <w:pitch w:val="default"/>
    <w:sig w:usb0="00000000" w:usb1="00000000" w:usb2="00000009" w:usb3="00000000" w:csb0="000001FF" w:csb1="00000000"/>
  </w:font>
  <w:font w:name="黑体">
    <w:panose1 w:val="02010609060101010101"/>
    <w:charset w:val="86"/>
    <w:family w:val="modern"/>
    <w:pitch w:val="default"/>
    <w:sig w:usb0="800002BF" w:usb1="38CF7CFA" w:usb2="00000016" w:usb3="00000000" w:csb0="00040001" w:csb1="00000000"/>
  </w:font>
  <w:font w:name="等线">
    <w:altName w:val="宋体"/>
    <w:panose1 w:val="02010600030101010101"/>
    <w:charset w:val="86"/>
    <w:family w:val="auto"/>
    <w:pitch w:val="default"/>
    <w:sig w:usb0="00000000" w:usb1="00000000" w:usb2="00000016" w:usb3="00000000" w:csb0="0004000F" w:csb1="00000000"/>
  </w:font>
  <w:font w:name="Symbol">
    <w:altName w:val="MT Extra"/>
    <w:panose1 w:val="05050102010706020507"/>
    <w:charset w:val="02"/>
    <w:family w:val="roman"/>
    <w:pitch w:val="default"/>
    <w:sig w:usb0="00000000" w:usb1="00000000" w:usb2="00000000" w:usb3="00000000" w:csb0="80000000" w:csb1="00000000"/>
  </w:font>
  <w:font w:name="Wingdings">
    <w:panose1 w:val="05000000000000000000"/>
    <w:charset w:val="02"/>
    <w:family w:val="auto"/>
    <w:pitch w:val="default"/>
    <w:sig w:usb0="00000000" w:usb1="00000000" w:usb2="00000000" w:usb3="00000000" w:csb0="80000000" w:csb1="00000000"/>
  </w:font>
  <w:font w:name="等线 Light">
    <w:altName w:val="宋体"/>
    <w:panose1 w:val="02010600030101010101"/>
    <w:charset w:val="86"/>
    <w:family w:val="auto"/>
    <w:pitch w:val="default"/>
    <w:sig w:usb0="00000000" w:usb1="00000000" w:usb2="00000016" w:usb3="00000000" w:csb0="0004000F" w:csb1="00000000"/>
  </w:font>
  <w:font w:name="微软雅黑">
    <w:altName w:val="黑体"/>
    <w:panose1 w:val="020B0503020204020204"/>
    <w:charset w:val="86"/>
    <w:family w:val="swiss"/>
    <w:pitch w:val="default"/>
    <w:sig w:usb0="00000000" w:usb1="00000000" w:usb2="00000016" w:usb3="00000000" w:csb0="0004001F" w:csb1="00000000"/>
  </w:font>
  <w:font w:name="Wingdings 2">
    <w:altName w:val="MT Extra"/>
    <w:panose1 w:val="05020102010507070707"/>
    <w:charset w:val="02"/>
    <w:family w:val="roman"/>
    <w:pitch w:val="default"/>
    <w:sig w:usb0="00000000" w:usb1="00000000" w:usb2="00000000" w:usb3="00000000" w:csb0="80000000" w:csb1="00000000"/>
  </w:font>
  <w:font w:name="等线">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MT Extra">
    <w:panose1 w:val="05050102010205020202"/>
    <w:charset w:val="00"/>
    <w:family w:val="auto"/>
    <w:pitch w:val="default"/>
    <w:sig w:usb0="80000000" w:usb1="00000000" w:usb2="00000000" w:usb3="00000000" w:csb0="00000000" w:csb1="00000000"/>
  </w:font>
  <w:font w:name="MT Extra">
    <w:panose1 w:val="05050102010205020202"/>
    <w:charset w:val="02"/>
    <w:family w:val="roman"/>
    <w:pitch w:val="default"/>
    <w:sig w:usb0="80000000" w:usb1="00000000" w:usb2="00000000" w:usb3="00000000" w:csb0="00000000" w:csb1="00000000"/>
  </w:font>
  <w:font w:name="sysfFS">
    <w:panose1 w:val="02010604000000000000"/>
    <w:charset w:val="86"/>
    <w:family w:val="auto"/>
    <w:pitch w:val="default"/>
    <w:sig w:usb0="00000003" w:usb1="080E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fldChar w:fldCharType="begin"/>
    </w:r>
    <w:r>
      <w:instrText xml:space="preserve">PAGE   \* MERGEFORMAT</w:instrText>
    </w:r>
    <w:r>
      <w:fldChar w:fldCharType="separate"/>
    </w:r>
    <w:r>
      <w:rPr>
        <w:lang w:val="zh-CN"/>
      </w:rPr>
      <w:t>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720"/>
      <w:jc w:val="both"/>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3"/>
    </w:pPr>
    <w:r>
      <w:fldChar w:fldCharType="begin"/>
    </w:r>
    <w:r>
      <w:instrText xml:space="preserve">PAGE   \* MERGEFORMAT</w:instrText>
    </w:r>
    <w:r>
      <w:fldChar w:fldCharType="separate"/>
    </w:r>
    <w:r>
      <w:rPr>
        <w:lang w:val="zh-CN"/>
      </w:rPr>
      <w:t>I</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wordWrap w:val="0"/>
      <w:jc w:val="right"/>
      <w:rPr>
        <w:rFonts w:ascii="黑体" w:hAnsi="黑体" w:eastAsia="黑体"/>
      </w:rPr>
    </w:pPr>
    <w:r>
      <w:rPr>
        <w:rFonts w:ascii="黑体" w:hAnsi="黑体" w:eastAsia="黑体"/>
      </w:rPr>
      <w:t>Q/LB.</w:t>
    </w:r>
    <w:r>
      <w:rPr>
        <w:rFonts w:hint="eastAsia" w:ascii="黑体" w:hAnsi="黑体" w:eastAsia="黑体"/>
      </w:rPr>
      <w:t>□</w:t>
    </w:r>
    <w:r>
      <w:rPr>
        <w:rFonts w:ascii="黑体" w:hAnsi="黑体" w:eastAsia="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both"/>
      <w:rPr>
        <w:sz w:val="2"/>
        <w:szCs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DB3702/T XXXX—XXXX</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right"/>
      <w:rPr>
        <w:lang w:val="fr-FR"/>
      </w:rPr>
    </w:pPr>
    <w:r>
      <w:fldChar w:fldCharType="begin"/>
    </w:r>
    <w:r>
      <w:instrText xml:space="preserve"> STYLEREF  标准文件_文件编号  \* MERGEFORMAT </w:instrText>
    </w:r>
    <w:r>
      <w:fldChar w:fldCharType="separate"/>
    </w:r>
    <w:r>
      <w:rPr>
        <w:lang w:val="fr-FR"/>
      </w:rPr>
      <w:t>DB3702/TXXXX—XXXX</w:t>
    </w:r>
    <w:r>
      <w:rPr>
        <w:lang w:val="fr-FR"/>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37933"/>
    <w:multiLevelType w:val="multilevel"/>
    <w:tmpl w:val="02837933"/>
    <w:lvl w:ilvl="0" w:tentative="0">
      <w:start w:val="1"/>
      <w:numFmt w:val="decimal"/>
      <w:pStyle w:val="65"/>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1">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160"/>
      <w:suff w:val="nothing"/>
      <w:lvlText w:val="%1%2.%3　"/>
      <w:lvlJc w:val="left"/>
      <w:pPr>
        <w:ind w:left="0" w:firstLine="0"/>
      </w:pPr>
    </w:lvl>
    <w:lvl w:ilvl="3" w:tentative="0">
      <w:start w:val="1"/>
      <w:numFmt w:val="decimal"/>
      <w:pStyle w:val="119"/>
      <w:suff w:val="nothing"/>
      <w:lvlText w:val="%1%2.%3.%4　"/>
      <w:lvlJc w:val="left"/>
      <w:pPr>
        <w:ind w:left="0" w:firstLine="0"/>
      </w:pPr>
    </w:lvl>
    <w:lvl w:ilvl="4" w:tentative="0">
      <w:start w:val="1"/>
      <w:numFmt w:val="decimal"/>
      <w:pStyle w:val="154"/>
      <w:suff w:val="nothing"/>
      <w:lvlText w:val="%1%2.%3.%4.%5　"/>
      <w:lvlJc w:val="left"/>
      <w:pPr>
        <w:ind w:left="0" w:firstLine="0"/>
      </w:pPr>
    </w:lvl>
    <w:lvl w:ilvl="5" w:tentative="0">
      <w:start w:val="1"/>
      <w:numFmt w:val="decimal"/>
      <w:pStyle w:val="156"/>
      <w:suff w:val="nothing"/>
      <w:lvlText w:val="%1%2.%3.%4.%5.%6　"/>
      <w:lvlJc w:val="left"/>
      <w:pPr>
        <w:ind w:left="0" w:firstLine="0"/>
      </w:pPr>
    </w:lvl>
    <w:lvl w:ilvl="6" w:tentative="0">
      <w:start w:val="1"/>
      <w:numFmt w:val="decimal"/>
      <w:pStyle w:val="159"/>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79102AD"/>
    <w:multiLevelType w:val="multilevel"/>
    <w:tmpl w:val="079102AD"/>
    <w:lvl w:ilvl="0" w:tentative="0">
      <w:start w:val="1"/>
      <w:numFmt w:val="decimal"/>
      <w:pStyle w:val="181"/>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3">
    <w:nsid w:val="07ED3FEA"/>
    <w:multiLevelType w:val="multilevel"/>
    <w:tmpl w:val="07ED3FEA"/>
    <w:lvl w:ilvl="0" w:tentative="0">
      <w:start w:val="1"/>
      <w:numFmt w:val="none"/>
      <w:pStyle w:val="90"/>
      <w:lvlText w:val="%1"/>
      <w:lvlJc w:val="left"/>
      <w:pPr>
        <w:ind w:left="425" w:hanging="425"/>
      </w:pPr>
      <w:rPr>
        <w:rFonts w:hint="eastAsia"/>
      </w:rPr>
    </w:lvl>
    <w:lvl w:ilvl="1" w:tentative="0">
      <w:start w:val="1"/>
      <w:numFmt w:val="decimal"/>
      <w:pStyle w:val="201"/>
      <w:suff w:val="nothing"/>
      <w:lvlText w:val="%10.%2 "/>
      <w:lvlJc w:val="left"/>
      <w:pPr>
        <w:ind w:left="0" w:firstLine="0"/>
      </w:pPr>
      <w:rPr>
        <w:rFonts w:hint="eastAsia" w:ascii="黑体" w:eastAsia="黑体" w:hAnsiTheme="minorHAnsi"/>
        <w:b w:val="0"/>
        <w:i w:val="0"/>
        <w:sz w:val="21"/>
      </w:rPr>
    </w:lvl>
    <w:lvl w:ilvl="2" w:tentative="0">
      <w:start w:val="1"/>
      <w:numFmt w:val="decimal"/>
      <w:pStyle w:val="202"/>
      <w:suff w:val="nothing"/>
      <w:lvlText w:val="%10.%2.%3 "/>
      <w:lvlJc w:val="left"/>
      <w:pPr>
        <w:ind w:left="0" w:firstLine="0"/>
      </w:pPr>
      <w:rPr>
        <w:rFonts w:hint="eastAsia" w:ascii="黑体" w:eastAsia="黑体" w:hAnsiTheme="minorHAnsi"/>
        <w:b w:val="0"/>
        <w:i w:val="0"/>
        <w:sz w:val="21"/>
      </w:rPr>
    </w:lvl>
    <w:lvl w:ilvl="3" w:tentative="0">
      <w:start w:val="1"/>
      <w:numFmt w:val="decimal"/>
      <w:pStyle w:val="203"/>
      <w:suff w:val="nothing"/>
      <w:lvlText w:val="%10.%2.%3.%4 "/>
      <w:lvlJc w:val="left"/>
      <w:pPr>
        <w:ind w:left="0" w:firstLine="0"/>
      </w:pPr>
      <w:rPr>
        <w:rFonts w:hint="eastAsia" w:ascii="黑体" w:eastAsia="黑体" w:hAnsiTheme="minorHAnsi"/>
        <w:b w:val="0"/>
        <w:i w:val="0"/>
        <w:sz w:val="21"/>
      </w:rPr>
    </w:lvl>
    <w:lvl w:ilvl="4" w:tentative="0">
      <w:start w:val="1"/>
      <w:numFmt w:val="decimal"/>
      <w:pStyle w:val="204"/>
      <w:suff w:val="nothing"/>
      <w:lvlText w:val="%10.%2.%3.%4.%5 "/>
      <w:lvlJc w:val="left"/>
      <w:pPr>
        <w:ind w:left="0" w:firstLine="0"/>
      </w:pPr>
      <w:rPr>
        <w:rFonts w:hint="eastAsia" w:ascii="黑体" w:eastAsia="黑体" w:hAnsiTheme="minorHAnsi"/>
        <w:b w:val="0"/>
        <w:i w:val="0"/>
        <w:sz w:val="21"/>
      </w:rPr>
    </w:lvl>
    <w:lvl w:ilvl="5" w:tentative="0">
      <w:start w:val="1"/>
      <w:numFmt w:val="decimal"/>
      <w:pStyle w:val="205"/>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0AE367E9"/>
    <w:multiLevelType w:val="multilevel"/>
    <w:tmpl w:val="0AE367E9"/>
    <w:lvl w:ilvl="0" w:tentative="0">
      <w:start w:val="1"/>
      <w:numFmt w:val="none"/>
      <w:pStyle w:val="182"/>
      <w:suff w:val="nothing"/>
      <w:lvlText w:val="%1示例："/>
      <w:lvlJc w:val="left"/>
      <w:pPr>
        <w:ind w:left="0" w:firstLine="363"/>
      </w:pPr>
      <w:rPr>
        <w:rFonts w:hint="eastAsia" w:ascii="黑体" w:eastAsia="黑体"/>
        <w:b w:val="0"/>
        <w:i w:val="0"/>
        <w:sz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5">
    <w:nsid w:val="0BDC1670"/>
    <w:multiLevelType w:val="multilevel"/>
    <w:tmpl w:val="0BDC1670"/>
    <w:lvl w:ilvl="0" w:tentative="0">
      <w:start w:val="1"/>
      <w:numFmt w:val="decimal"/>
      <w:pStyle w:val="68"/>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D051F45"/>
    <w:multiLevelType w:val="multilevel"/>
    <w:tmpl w:val="0D051F45"/>
    <w:lvl w:ilvl="0" w:tentative="0">
      <w:start w:val="1"/>
      <w:numFmt w:val="lowerRoman"/>
      <w:pStyle w:val="170"/>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543"/>
        </w:tabs>
        <w:ind w:left="1543" w:hanging="420"/>
      </w:pPr>
      <w:rPr>
        <w:rFonts w:hint="eastAsia"/>
      </w:rPr>
    </w:lvl>
    <w:lvl w:ilvl="2" w:tentative="0">
      <w:start w:val="1"/>
      <w:numFmt w:val="lowerRoman"/>
      <w:lvlText w:val="%3."/>
      <w:lvlJc w:val="right"/>
      <w:pPr>
        <w:tabs>
          <w:tab w:val="left" w:pos="1963"/>
        </w:tabs>
        <w:ind w:left="1963" w:hanging="420"/>
      </w:pPr>
      <w:rPr>
        <w:rFonts w:hint="eastAsia"/>
      </w:rPr>
    </w:lvl>
    <w:lvl w:ilvl="3" w:tentative="0">
      <w:start w:val="1"/>
      <w:numFmt w:val="decimal"/>
      <w:lvlText w:val="%4."/>
      <w:lvlJc w:val="left"/>
      <w:pPr>
        <w:tabs>
          <w:tab w:val="left" w:pos="2383"/>
        </w:tabs>
        <w:ind w:left="2383" w:hanging="420"/>
      </w:pPr>
      <w:rPr>
        <w:rFonts w:hint="eastAsia"/>
      </w:rPr>
    </w:lvl>
    <w:lvl w:ilvl="4" w:tentative="0">
      <w:start w:val="1"/>
      <w:numFmt w:val="lowerLetter"/>
      <w:lvlText w:val="%5)"/>
      <w:lvlJc w:val="left"/>
      <w:pPr>
        <w:tabs>
          <w:tab w:val="left" w:pos="2803"/>
        </w:tabs>
        <w:ind w:left="2803" w:hanging="420"/>
      </w:pPr>
      <w:rPr>
        <w:rFonts w:hint="eastAsia"/>
      </w:rPr>
    </w:lvl>
    <w:lvl w:ilvl="5" w:tentative="0">
      <w:start w:val="1"/>
      <w:numFmt w:val="lowerRoman"/>
      <w:lvlText w:val="%6."/>
      <w:lvlJc w:val="right"/>
      <w:pPr>
        <w:tabs>
          <w:tab w:val="left" w:pos="3223"/>
        </w:tabs>
        <w:ind w:left="3223" w:hanging="420"/>
      </w:pPr>
      <w:rPr>
        <w:rFonts w:hint="eastAsia"/>
      </w:rPr>
    </w:lvl>
    <w:lvl w:ilvl="6" w:tentative="0">
      <w:start w:val="1"/>
      <w:numFmt w:val="decimal"/>
      <w:lvlText w:val="%7."/>
      <w:lvlJc w:val="left"/>
      <w:pPr>
        <w:tabs>
          <w:tab w:val="left" w:pos="3643"/>
        </w:tabs>
        <w:ind w:left="3643" w:hanging="420"/>
      </w:pPr>
      <w:rPr>
        <w:rFonts w:hint="eastAsia"/>
      </w:rPr>
    </w:lvl>
    <w:lvl w:ilvl="7" w:tentative="0">
      <w:start w:val="1"/>
      <w:numFmt w:val="lowerLetter"/>
      <w:lvlText w:val="%8)"/>
      <w:lvlJc w:val="left"/>
      <w:pPr>
        <w:tabs>
          <w:tab w:val="left" w:pos="4063"/>
        </w:tabs>
        <w:ind w:left="4063" w:hanging="420"/>
      </w:pPr>
      <w:rPr>
        <w:rFonts w:hint="eastAsia"/>
      </w:rPr>
    </w:lvl>
    <w:lvl w:ilvl="8" w:tentative="0">
      <w:start w:val="1"/>
      <w:numFmt w:val="lowerRoman"/>
      <w:lvlText w:val="%9."/>
      <w:lvlJc w:val="right"/>
      <w:pPr>
        <w:tabs>
          <w:tab w:val="left" w:pos="4483"/>
        </w:tabs>
        <w:ind w:left="4483" w:hanging="420"/>
      </w:pPr>
      <w:rPr>
        <w:rFonts w:hint="eastAsia"/>
      </w:rPr>
    </w:lvl>
  </w:abstractNum>
  <w:abstractNum w:abstractNumId="7">
    <w:nsid w:val="1AD20F90"/>
    <w:multiLevelType w:val="multilevel"/>
    <w:tmpl w:val="1AD20F90"/>
    <w:lvl w:ilvl="0" w:tentative="0">
      <w:start w:val="1"/>
      <w:numFmt w:val="none"/>
      <w:pStyle w:val="111"/>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1AF15012"/>
    <w:multiLevelType w:val="multilevel"/>
    <w:tmpl w:val="1AF15012"/>
    <w:lvl w:ilvl="0" w:tentative="0">
      <w:start w:val="1"/>
      <w:numFmt w:val="upperLetter"/>
      <w:pStyle w:val="86"/>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9">
    <w:nsid w:val="1EAA1992"/>
    <w:multiLevelType w:val="multilevel"/>
    <w:tmpl w:val="1EAA1992"/>
    <w:lvl w:ilvl="0" w:tentative="0">
      <w:start w:val="1"/>
      <w:numFmt w:val="none"/>
      <w:pStyle w:val="93"/>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10">
    <w:nsid w:val="2C5917C3"/>
    <w:multiLevelType w:val="multilevel"/>
    <w:tmpl w:val="2C5917C3"/>
    <w:lvl w:ilvl="0" w:tentative="0">
      <w:start w:val="1"/>
      <w:numFmt w:val="none"/>
      <w:pStyle w:val="133"/>
      <w:lvlText w:val="%1——"/>
      <w:lvlJc w:val="left"/>
      <w:pPr>
        <w:tabs>
          <w:tab w:val="left" w:pos="851"/>
        </w:tabs>
        <w:ind w:left="851" w:hanging="426"/>
      </w:pPr>
      <w:rPr>
        <w:rFonts w:hint="eastAsia" w:ascii="宋体" w:hAnsi="Times New Roman" w:eastAsia="宋体"/>
        <w:b w:val="0"/>
        <w:i w:val="0"/>
        <w:sz w:val="21"/>
      </w:rPr>
    </w:lvl>
    <w:lvl w:ilvl="1" w:tentative="0">
      <w:start w:val="1"/>
      <w:numFmt w:val="none"/>
      <w:pStyle w:val="188"/>
      <w:lvlText w:val=""/>
      <w:lvlJc w:val="left"/>
      <w:pPr>
        <w:ind w:left="851" w:hanging="431"/>
      </w:pPr>
      <w:rPr>
        <w:rFonts w:hint="default" w:ascii="Symbol" w:hAnsi="Symbol"/>
        <w:sz w:val="21"/>
      </w:rPr>
    </w:lvl>
    <w:lvl w:ilvl="2" w:tentative="0">
      <w:start w:val="1"/>
      <w:numFmt w:val="bullet"/>
      <w:pStyle w:val="173"/>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1">
    <w:nsid w:val="32F04FB2"/>
    <w:multiLevelType w:val="multilevel"/>
    <w:tmpl w:val="32F04FB2"/>
    <w:lvl w:ilvl="0" w:tentative="0">
      <w:start w:val="1"/>
      <w:numFmt w:val="lowerLetter"/>
      <w:pStyle w:val="102"/>
      <w:lvlText w:val="%1"/>
      <w:lvlJc w:val="left"/>
      <w:pPr>
        <w:tabs>
          <w:tab w:val="left" w:pos="539"/>
        </w:tabs>
        <w:ind w:left="539" w:hanging="119"/>
      </w:pPr>
      <w:rPr>
        <w:rFonts w:hint="eastAsia"/>
        <w:caps w:val="0"/>
        <w:strike w:val="0"/>
        <w:dstrike w:val="0"/>
        <w:vanish w:val="0"/>
        <w:vertAlign w:val="superscript"/>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12">
    <w:nsid w:val="44C50F90"/>
    <w:multiLevelType w:val="multilevel"/>
    <w:tmpl w:val="44C50F90"/>
    <w:lvl w:ilvl="0" w:tentative="0">
      <w:start w:val="1"/>
      <w:numFmt w:val="lowerLetter"/>
      <w:pStyle w:val="175"/>
      <w:lvlText w:val="%1)"/>
      <w:lvlJc w:val="left"/>
      <w:pPr>
        <w:tabs>
          <w:tab w:val="left" w:pos="851"/>
        </w:tabs>
        <w:ind w:left="851" w:hanging="426"/>
      </w:pPr>
      <w:rPr>
        <w:rFonts w:hint="eastAsia" w:ascii="宋体" w:hAnsi="Times New Roman" w:eastAsia="宋体"/>
        <w:sz w:val="21"/>
      </w:rPr>
    </w:lvl>
    <w:lvl w:ilvl="1" w:tentative="0">
      <w:start w:val="1"/>
      <w:numFmt w:val="decimal"/>
      <w:pStyle w:val="110"/>
      <w:lvlText w:val="%2)"/>
      <w:lvlJc w:val="left"/>
      <w:pPr>
        <w:tabs>
          <w:tab w:val="left" w:pos="1276"/>
        </w:tabs>
        <w:ind w:left="1276" w:hanging="425"/>
      </w:pPr>
      <w:rPr>
        <w:rFonts w:hint="eastAsia" w:ascii="宋体" w:hAnsi="Times New Roman" w:eastAsia="宋体"/>
        <w:sz w:val="21"/>
      </w:rPr>
    </w:lvl>
    <w:lvl w:ilvl="2" w:tentative="0">
      <w:start w:val="1"/>
      <w:numFmt w:val="decimal"/>
      <w:pStyle w:val="118"/>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3">
    <w:nsid w:val="48802D1C"/>
    <w:multiLevelType w:val="multilevel"/>
    <w:tmpl w:val="48802D1C"/>
    <w:lvl w:ilvl="0" w:tentative="0">
      <w:start w:val="1"/>
      <w:numFmt w:val="upperLetter"/>
      <w:pStyle w:val="199"/>
      <w:lvlText w:val="%1"/>
      <w:lvlJc w:val="left"/>
      <w:pPr>
        <w:ind w:left="420" w:hanging="420"/>
      </w:pPr>
      <w:rPr>
        <w:rFonts w:hint="eastAsia"/>
      </w:rPr>
    </w:lvl>
    <w:lvl w:ilvl="1" w:tentative="0">
      <w:start w:val="1"/>
      <w:numFmt w:val="decimal"/>
      <w:pStyle w:val="84"/>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4">
    <w:nsid w:val="4B733A5F"/>
    <w:multiLevelType w:val="multilevel"/>
    <w:tmpl w:val="4B733A5F"/>
    <w:lvl w:ilvl="0" w:tentative="0">
      <w:start w:val="1"/>
      <w:numFmt w:val="decimal"/>
      <w:pStyle w:val="184"/>
      <w:suff w:val="nothing"/>
      <w:lvlText w:val="示例%1："/>
      <w:lvlJc w:val="left"/>
      <w:pPr>
        <w:ind w:left="0" w:firstLine="363"/>
      </w:pPr>
      <w:rPr>
        <w:rFonts w:hint="eastAsia" w:ascii="黑体" w:eastAsia="黑体"/>
        <w:b w:val="0"/>
        <w:i w:val="0"/>
        <w:sz w:val="18"/>
      </w:rPr>
    </w:lvl>
    <w:lvl w:ilvl="1" w:tentative="0">
      <w:start w:val="1"/>
      <w:numFmt w:val="none"/>
      <w:suff w:val="space"/>
      <w:lvlText w:val=""/>
      <w:lvlJc w:val="left"/>
      <w:pPr>
        <w:ind w:left="0" w:firstLine="0"/>
      </w:pPr>
      <w:rPr>
        <w:rFonts w:hint="eastAsia"/>
      </w:rPr>
    </w:lvl>
    <w:lvl w:ilvl="2" w:tentative="0">
      <w:start w:val="1"/>
      <w:numFmt w:val="decimal"/>
      <w:suff w:val="space"/>
      <w:lvlText w:val="2.2.%3"/>
      <w:lvlJc w:val="left"/>
      <w:pPr>
        <w:ind w:left="0" w:firstLine="0"/>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5">
    <w:nsid w:val="4E5D0534"/>
    <w:multiLevelType w:val="multilevel"/>
    <w:tmpl w:val="4E5D0534"/>
    <w:lvl w:ilvl="0" w:tentative="0">
      <w:start w:val="1"/>
      <w:numFmt w:val="decimal"/>
      <w:pStyle w:val="117"/>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6">
    <w:nsid w:val="54632751"/>
    <w:multiLevelType w:val="multilevel"/>
    <w:tmpl w:val="54632751"/>
    <w:lvl w:ilvl="0" w:tentative="0">
      <w:start w:val="1"/>
      <w:numFmt w:val="none"/>
      <w:pStyle w:val="94"/>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17">
    <w:nsid w:val="557C2AF5"/>
    <w:multiLevelType w:val="multilevel"/>
    <w:tmpl w:val="557C2AF5"/>
    <w:lvl w:ilvl="0" w:tentative="0">
      <w:start w:val="1"/>
      <w:numFmt w:val="decimal"/>
      <w:pStyle w:val="115"/>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8">
    <w:nsid w:val="5603797C"/>
    <w:multiLevelType w:val="multilevel"/>
    <w:tmpl w:val="5603797C"/>
    <w:lvl w:ilvl="0" w:tentative="0">
      <w:start w:val="1"/>
      <w:numFmt w:val="upperLetter"/>
      <w:pStyle w:val="200"/>
      <w:suff w:val="space"/>
      <w:lvlText w:val="%1"/>
      <w:lvlJc w:val="left"/>
      <w:pPr>
        <w:ind w:left="425" w:hanging="425"/>
      </w:pPr>
      <w:rPr>
        <w:rFonts w:hint="eastAsia"/>
      </w:rPr>
    </w:lvl>
    <w:lvl w:ilvl="1" w:tentative="0">
      <w:start w:val="1"/>
      <w:numFmt w:val="decimal"/>
      <w:pStyle w:val="78"/>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9">
    <w:nsid w:val="564D2089"/>
    <w:multiLevelType w:val="multilevel"/>
    <w:tmpl w:val="564D2089"/>
    <w:lvl w:ilvl="0" w:tentative="0">
      <w:start w:val="1"/>
      <w:numFmt w:val="none"/>
      <w:pStyle w:val="112"/>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644622F9"/>
    <w:multiLevelType w:val="multilevel"/>
    <w:tmpl w:val="644622F9"/>
    <w:lvl w:ilvl="0" w:tentative="0">
      <w:start w:val="1"/>
      <w:numFmt w:val="upperRoman"/>
      <w:pStyle w:val="169"/>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310"/>
        </w:tabs>
        <w:ind w:left="1310" w:hanging="420"/>
      </w:pPr>
      <w:rPr>
        <w:rFonts w:hint="eastAsia"/>
      </w:rPr>
    </w:lvl>
    <w:lvl w:ilvl="2" w:tentative="0">
      <w:start w:val="1"/>
      <w:numFmt w:val="lowerRoman"/>
      <w:lvlText w:val="%3."/>
      <w:lvlJc w:val="right"/>
      <w:pPr>
        <w:tabs>
          <w:tab w:val="left" w:pos="1730"/>
        </w:tabs>
        <w:ind w:left="1730" w:hanging="420"/>
      </w:pPr>
      <w:rPr>
        <w:rFonts w:hint="eastAsia"/>
      </w:rPr>
    </w:lvl>
    <w:lvl w:ilvl="3" w:tentative="0">
      <w:start w:val="1"/>
      <w:numFmt w:val="decimal"/>
      <w:lvlText w:val="%4."/>
      <w:lvlJc w:val="left"/>
      <w:pPr>
        <w:tabs>
          <w:tab w:val="left" w:pos="2150"/>
        </w:tabs>
        <w:ind w:left="2150" w:hanging="420"/>
      </w:pPr>
      <w:rPr>
        <w:rFonts w:hint="eastAsia"/>
      </w:rPr>
    </w:lvl>
    <w:lvl w:ilvl="4" w:tentative="0">
      <w:start w:val="1"/>
      <w:numFmt w:val="lowerLetter"/>
      <w:lvlText w:val="%5)"/>
      <w:lvlJc w:val="left"/>
      <w:pPr>
        <w:tabs>
          <w:tab w:val="left" w:pos="2570"/>
        </w:tabs>
        <w:ind w:left="2570" w:hanging="420"/>
      </w:pPr>
      <w:rPr>
        <w:rFonts w:hint="eastAsia"/>
      </w:rPr>
    </w:lvl>
    <w:lvl w:ilvl="5" w:tentative="0">
      <w:start w:val="1"/>
      <w:numFmt w:val="lowerRoman"/>
      <w:lvlText w:val="%6."/>
      <w:lvlJc w:val="right"/>
      <w:pPr>
        <w:tabs>
          <w:tab w:val="left" w:pos="2990"/>
        </w:tabs>
        <w:ind w:left="2990" w:hanging="420"/>
      </w:pPr>
      <w:rPr>
        <w:rFonts w:hint="eastAsia"/>
      </w:rPr>
    </w:lvl>
    <w:lvl w:ilvl="6" w:tentative="0">
      <w:start w:val="1"/>
      <w:numFmt w:val="decimal"/>
      <w:lvlText w:val="%7."/>
      <w:lvlJc w:val="left"/>
      <w:pPr>
        <w:tabs>
          <w:tab w:val="left" w:pos="3410"/>
        </w:tabs>
        <w:ind w:left="3410" w:hanging="420"/>
      </w:pPr>
      <w:rPr>
        <w:rFonts w:hint="eastAsia"/>
      </w:rPr>
    </w:lvl>
    <w:lvl w:ilvl="7" w:tentative="0">
      <w:start w:val="1"/>
      <w:numFmt w:val="lowerLetter"/>
      <w:lvlText w:val="%8)"/>
      <w:lvlJc w:val="left"/>
      <w:pPr>
        <w:tabs>
          <w:tab w:val="left" w:pos="3830"/>
        </w:tabs>
        <w:ind w:left="3830" w:hanging="420"/>
      </w:pPr>
      <w:rPr>
        <w:rFonts w:hint="eastAsia"/>
      </w:rPr>
    </w:lvl>
    <w:lvl w:ilvl="8" w:tentative="0">
      <w:start w:val="1"/>
      <w:numFmt w:val="lowerRoman"/>
      <w:lvlText w:val="%9."/>
      <w:lvlJc w:val="right"/>
      <w:pPr>
        <w:tabs>
          <w:tab w:val="left" w:pos="4250"/>
        </w:tabs>
        <w:ind w:left="4250" w:hanging="420"/>
      </w:pPr>
      <w:rPr>
        <w:rFonts w:hint="eastAsia"/>
      </w:rPr>
    </w:lvl>
  </w:abstractNum>
  <w:abstractNum w:abstractNumId="21">
    <w:nsid w:val="646260FA"/>
    <w:multiLevelType w:val="multilevel"/>
    <w:tmpl w:val="646260FA"/>
    <w:lvl w:ilvl="0" w:tentative="0">
      <w:start w:val="1"/>
      <w:numFmt w:val="decimal"/>
      <w:pStyle w:val="113"/>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2">
    <w:nsid w:val="654A26C9"/>
    <w:multiLevelType w:val="multilevel"/>
    <w:tmpl w:val="654A26C9"/>
    <w:lvl w:ilvl="0" w:tentative="0">
      <w:start w:val="1"/>
      <w:numFmt w:val="none"/>
      <w:pStyle w:val="190"/>
      <w:lvlText w:val="──"/>
      <w:lvlJc w:val="left"/>
      <w:pPr>
        <w:ind w:left="851" w:firstLine="0"/>
      </w:pPr>
      <w:rPr>
        <w:rFonts w:hint="eastAsia" w:ascii="宋体" w:eastAsia="宋体" w:hAnsiTheme="majorHAnsi"/>
        <w:b w:val="0"/>
        <w:i w:val="0"/>
        <w:sz w:val="21"/>
      </w:rPr>
    </w:lvl>
    <w:lvl w:ilvl="1" w:tentative="0">
      <w:start w:val="1"/>
      <w:numFmt w:val="bullet"/>
      <w:lvlText w:val=""/>
      <w:lvlJc w:val="left"/>
      <w:pPr>
        <w:ind w:left="1276" w:hanging="425"/>
      </w:pPr>
      <w:rPr>
        <w:rFonts w:hint="default" w:ascii="Wingdings" w:hAnsi="Wingdings"/>
      </w:rPr>
    </w:lvl>
    <w:lvl w:ilvl="2" w:tentative="0">
      <w:start w:val="1"/>
      <w:numFmt w:val="bullet"/>
      <w:lvlText w:val=""/>
      <w:lvlJc w:val="left"/>
      <w:pPr>
        <w:ind w:left="1276" w:hanging="236"/>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abstractNum w:abstractNumId="23">
    <w:nsid w:val="657D3FBC"/>
    <w:multiLevelType w:val="multilevel"/>
    <w:tmpl w:val="657D3FBC"/>
    <w:lvl w:ilvl="0" w:tentative="0">
      <w:start w:val="1"/>
      <w:numFmt w:val="upperLetter"/>
      <w:pStyle w:val="77"/>
      <w:suff w:val="nothing"/>
      <w:lvlText w:val="附录%1"/>
      <w:lvlJc w:val="left"/>
      <w:pPr>
        <w:ind w:left="0" w:firstLine="0"/>
      </w:pPr>
      <w:rPr>
        <w:rFonts w:hint="eastAsia"/>
        <w:spacing w:val="100"/>
      </w:rPr>
    </w:lvl>
    <w:lvl w:ilvl="1" w:tentative="0">
      <w:start w:val="1"/>
      <w:numFmt w:val="decimal"/>
      <w:pStyle w:val="79"/>
      <w:suff w:val="nothing"/>
      <w:lvlText w:val="%1.%2　"/>
      <w:lvlJc w:val="left"/>
      <w:pPr>
        <w:ind w:left="0" w:firstLine="0"/>
      </w:pPr>
      <w:rPr>
        <w:rFonts w:hint="eastAsia" w:ascii="黑体" w:eastAsia="黑体"/>
        <w:b w:val="0"/>
        <w:i w:val="0"/>
        <w:sz w:val="21"/>
      </w:rPr>
    </w:lvl>
    <w:lvl w:ilvl="2" w:tentative="0">
      <w:start w:val="1"/>
      <w:numFmt w:val="decimal"/>
      <w:pStyle w:val="80"/>
      <w:suff w:val="nothing"/>
      <w:lvlText w:val="%1.%2.%3　"/>
      <w:lvlJc w:val="left"/>
      <w:pPr>
        <w:ind w:left="0" w:firstLine="0"/>
      </w:pPr>
      <w:rPr>
        <w:rFonts w:hint="eastAsia" w:ascii="黑体" w:eastAsia="黑体"/>
        <w:b w:val="0"/>
        <w:i w:val="0"/>
        <w:sz w:val="21"/>
      </w:rPr>
    </w:lvl>
    <w:lvl w:ilvl="3" w:tentative="0">
      <w:start w:val="1"/>
      <w:numFmt w:val="decimal"/>
      <w:pStyle w:val="82"/>
      <w:suff w:val="nothing"/>
      <w:lvlText w:val="%1.%2.%3.%4　"/>
      <w:lvlJc w:val="left"/>
      <w:pPr>
        <w:ind w:left="0" w:firstLine="0"/>
      </w:pPr>
      <w:rPr>
        <w:rFonts w:hint="eastAsia" w:ascii="黑体" w:eastAsia="黑体"/>
        <w:b w:val="0"/>
        <w:i w:val="0"/>
        <w:sz w:val="21"/>
      </w:rPr>
    </w:lvl>
    <w:lvl w:ilvl="4" w:tentative="0">
      <w:start w:val="1"/>
      <w:numFmt w:val="decimal"/>
      <w:pStyle w:val="83"/>
      <w:suff w:val="nothing"/>
      <w:lvlText w:val="%1.%2.%3.%4.%5　"/>
      <w:lvlJc w:val="left"/>
      <w:pPr>
        <w:ind w:left="0" w:firstLine="0"/>
      </w:pPr>
      <w:rPr>
        <w:rFonts w:hint="eastAsia" w:ascii="黑体" w:eastAsia="黑体"/>
        <w:b w:val="0"/>
        <w:i w:val="0"/>
        <w:sz w:val="21"/>
      </w:rPr>
    </w:lvl>
    <w:lvl w:ilvl="5" w:tentative="0">
      <w:start w:val="1"/>
      <w:numFmt w:val="decimal"/>
      <w:pStyle w:val="85"/>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4">
    <w:nsid w:val="69506ABF"/>
    <w:multiLevelType w:val="multilevel"/>
    <w:tmpl w:val="69506ABF"/>
    <w:lvl w:ilvl="0" w:tentative="0">
      <w:start w:val="1"/>
      <w:numFmt w:val="bullet"/>
      <w:pStyle w:val="189"/>
      <w:lvlText w:val=""/>
      <w:lvlJc w:val="left"/>
      <w:pPr>
        <w:ind w:left="851" w:firstLine="0"/>
      </w:pPr>
      <w:rPr>
        <w:rFonts w:hint="default" w:ascii="Wingdings" w:hAnsi="Wingdings"/>
        <w:color w:val="auto"/>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25">
    <w:nsid w:val="6CA41985"/>
    <w:multiLevelType w:val="multilevel"/>
    <w:tmpl w:val="6CA41985"/>
    <w:lvl w:ilvl="0" w:tentative="0">
      <w:start w:val="1"/>
      <w:numFmt w:val="decimal"/>
      <w:pStyle w:val="98"/>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6">
    <w:nsid w:val="6CE42AC1"/>
    <w:multiLevelType w:val="multilevel"/>
    <w:tmpl w:val="6CE42AC1"/>
    <w:lvl w:ilvl="0" w:tentative="0">
      <w:start w:val="1"/>
      <w:numFmt w:val="lowerLetter"/>
      <w:pStyle w:val="174"/>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6CEA2025"/>
    <w:multiLevelType w:val="multilevel"/>
    <w:tmpl w:val="6CEA2025"/>
    <w:lvl w:ilvl="0" w:tentative="0">
      <w:start w:val="1"/>
      <w:numFmt w:val="none"/>
      <w:pStyle w:val="153"/>
      <w:suff w:val="nothing"/>
      <w:lvlText w:val="%1"/>
      <w:lvlJc w:val="left"/>
      <w:pPr>
        <w:ind w:left="0" w:firstLine="0"/>
      </w:pPr>
      <w:rPr>
        <w:rFonts w:hint="eastAsia"/>
      </w:rPr>
    </w:lvl>
    <w:lvl w:ilvl="1" w:tentative="0">
      <w:start w:val="1"/>
      <w:numFmt w:val="decimal"/>
      <w:pStyle w:val="105"/>
      <w:suff w:val="nothing"/>
      <w:lvlText w:val="%1%2　"/>
      <w:lvlJc w:val="left"/>
      <w:pPr>
        <w:ind w:left="0" w:firstLine="0"/>
      </w:pPr>
      <w:rPr>
        <w:rFonts w:hint="eastAsia" w:ascii="黑体" w:eastAsia="黑体"/>
        <w:b w:val="0"/>
        <w:i w:val="0"/>
        <w:sz w:val="21"/>
      </w:rPr>
    </w:lvl>
    <w:lvl w:ilvl="2" w:tentative="0">
      <w:start w:val="1"/>
      <w:numFmt w:val="decimal"/>
      <w:pStyle w:val="106"/>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rPr>
    </w:lvl>
    <w:lvl w:ilvl="3" w:tentative="0">
      <w:start w:val="1"/>
      <w:numFmt w:val="decimal"/>
      <w:pStyle w:val="66"/>
      <w:suff w:val="nothing"/>
      <w:lvlText w:val="%1%2.%3.%4　"/>
      <w:lvlJc w:val="left"/>
      <w:pPr>
        <w:ind w:left="1844" w:firstLine="0"/>
      </w:pPr>
      <w:rPr>
        <w:rFonts w:hint="eastAsia" w:ascii="黑体" w:eastAsia="黑体"/>
        <w:b w:val="0"/>
        <w:i w:val="0"/>
        <w:sz w:val="21"/>
      </w:rPr>
    </w:lvl>
    <w:lvl w:ilvl="4" w:tentative="0">
      <w:start w:val="1"/>
      <w:numFmt w:val="decimal"/>
      <w:pStyle w:val="95"/>
      <w:suff w:val="nothing"/>
      <w:lvlText w:val="%1%2.%3.%4.%5　"/>
      <w:lvlJc w:val="left"/>
      <w:pPr>
        <w:ind w:left="0" w:firstLine="0"/>
      </w:pPr>
      <w:rPr>
        <w:rFonts w:hint="eastAsia" w:ascii="黑体" w:eastAsia="黑体"/>
        <w:b w:val="0"/>
        <w:i w:val="0"/>
        <w:sz w:val="21"/>
      </w:rPr>
    </w:lvl>
    <w:lvl w:ilvl="5" w:tentative="0">
      <w:start w:val="1"/>
      <w:numFmt w:val="decimal"/>
      <w:pStyle w:val="99"/>
      <w:suff w:val="nothing"/>
      <w:lvlText w:val="%1%2.%3.%4.%5.%6　"/>
      <w:lvlJc w:val="left"/>
      <w:pPr>
        <w:ind w:left="0" w:firstLine="0"/>
      </w:pPr>
      <w:rPr>
        <w:rFonts w:hint="eastAsia" w:ascii="黑体" w:eastAsia="黑体"/>
        <w:b w:val="0"/>
        <w:i w:val="0"/>
        <w:sz w:val="21"/>
      </w:rPr>
    </w:lvl>
    <w:lvl w:ilvl="6" w:tentative="0">
      <w:start w:val="1"/>
      <w:numFmt w:val="decimal"/>
      <w:pStyle w:val="104"/>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8">
    <w:nsid w:val="6DBF04F4"/>
    <w:multiLevelType w:val="multilevel"/>
    <w:tmpl w:val="6DBF04F4"/>
    <w:lvl w:ilvl="0" w:tentative="0">
      <w:start w:val="1"/>
      <w:numFmt w:val="none"/>
      <w:pStyle w:val="180"/>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29">
    <w:nsid w:val="6DF35F19"/>
    <w:multiLevelType w:val="multilevel"/>
    <w:tmpl w:val="6DF35F19"/>
    <w:lvl w:ilvl="0" w:tentative="0">
      <w:start w:val="1"/>
      <w:numFmt w:val="decimal"/>
      <w:pStyle w:val="116"/>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30">
    <w:nsid w:val="76933334"/>
    <w:multiLevelType w:val="multilevel"/>
    <w:tmpl w:val="76933334"/>
    <w:lvl w:ilvl="0" w:tentative="0">
      <w:start w:val="1"/>
      <w:numFmt w:val="none"/>
      <w:pStyle w:val="140"/>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27"/>
  </w:num>
  <w:num w:numId="3">
    <w:abstractNumId w:val="5"/>
  </w:num>
  <w:num w:numId="4">
    <w:abstractNumId w:val="23"/>
  </w:num>
  <w:num w:numId="5">
    <w:abstractNumId w:val="18"/>
  </w:num>
  <w:num w:numId="6">
    <w:abstractNumId w:val="13"/>
  </w:num>
  <w:num w:numId="7">
    <w:abstractNumId w:val="8"/>
  </w:num>
  <w:num w:numId="8">
    <w:abstractNumId w:val="3"/>
  </w:num>
  <w:num w:numId="9">
    <w:abstractNumId w:val="9"/>
  </w:num>
  <w:num w:numId="10">
    <w:abstractNumId w:val="16"/>
  </w:num>
  <w:num w:numId="11">
    <w:abstractNumId w:val="25"/>
  </w:num>
  <w:num w:numId="12">
    <w:abstractNumId w:val="11"/>
  </w:num>
  <w:num w:numId="13">
    <w:abstractNumId w:val="12"/>
  </w:num>
  <w:num w:numId="14">
    <w:abstractNumId w:val="7"/>
  </w:num>
  <w:num w:numId="15">
    <w:abstractNumId w:val="19"/>
  </w:num>
  <w:num w:numId="16">
    <w:abstractNumId w:val="21"/>
  </w:num>
  <w:num w:numId="17">
    <w:abstractNumId w:val="17"/>
  </w:num>
  <w:num w:numId="18">
    <w:abstractNumId w:val="29"/>
  </w:num>
  <w:num w:numId="19">
    <w:abstractNumId w:val="15"/>
  </w:num>
  <w:num w:numId="20">
    <w:abstractNumId w:val="1"/>
  </w:num>
  <w:num w:numId="21">
    <w:abstractNumId w:val="10"/>
  </w:num>
  <w:num w:numId="22">
    <w:abstractNumId w:val="30"/>
  </w:num>
  <w:num w:numId="23">
    <w:abstractNumId w:val="20"/>
  </w:num>
  <w:num w:numId="24">
    <w:abstractNumId w:val="6"/>
  </w:num>
  <w:num w:numId="25">
    <w:abstractNumId w:val="26"/>
  </w:num>
  <w:num w:numId="26">
    <w:abstractNumId w:val="28"/>
  </w:num>
  <w:num w:numId="27">
    <w:abstractNumId w:val="2"/>
  </w:num>
  <w:num w:numId="28">
    <w:abstractNumId w:val="4"/>
  </w:num>
  <w:num w:numId="29">
    <w:abstractNumId w:val="14"/>
  </w:num>
  <w:num w:numId="30">
    <w:abstractNumId w:val="24"/>
  </w:num>
  <w:num w:numId="31">
    <w:abstractNumId w:val="22"/>
  </w:num>
  <w:num w:numId="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bordersDoNotSurroundHeader w:val="1"/>
  <w:bordersDoNotSurroundFooter w:val="1"/>
  <w:attachedTemplate r:id="rId1"/>
  <w:documentProtection w:edit="forms"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0009"/>
    <w:rsid w:val="0000040A"/>
    <w:rsid w:val="00000A94"/>
    <w:rsid w:val="000014F8"/>
    <w:rsid w:val="00001972"/>
    <w:rsid w:val="00001D9A"/>
    <w:rsid w:val="00002912"/>
    <w:rsid w:val="00004EFF"/>
    <w:rsid w:val="000062E3"/>
    <w:rsid w:val="00006798"/>
    <w:rsid w:val="00007B3A"/>
    <w:rsid w:val="000107E0"/>
    <w:rsid w:val="0001093B"/>
    <w:rsid w:val="00011FDE"/>
    <w:rsid w:val="00012FFD"/>
    <w:rsid w:val="00014162"/>
    <w:rsid w:val="00014340"/>
    <w:rsid w:val="00014766"/>
    <w:rsid w:val="00016A9C"/>
    <w:rsid w:val="00020645"/>
    <w:rsid w:val="00022184"/>
    <w:rsid w:val="00022762"/>
    <w:rsid w:val="000238E0"/>
    <w:rsid w:val="000249DB"/>
    <w:rsid w:val="0002595E"/>
    <w:rsid w:val="000303C3"/>
    <w:rsid w:val="000331D3"/>
    <w:rsid w:val="00033499"/>
    <w:rsid w:val="000346A5"/>
    <w:rsid w:val="000359C3"/>
    <w:rsid w:val="00035A7D"/>
    <w:rsid w:val="000365ED"/>
    <w:rsid w:val="00037920"/>
    <w:rsid w:val="0004249A"/>
    <w:rsid w:val="00043282"/>
    <w:rsid w:val="00044286"/>
    <w:rsid w:val="00047F28"/>
    <w:rsid w:val="000503AA"/>
    <w:rsid w:val="000506A1"/>
    <w:rsid w:val="00051599"/>
    <w:rsid w:val="000515DD"/>
    <w:rsid w:val="00051834"/>
    <w:rsid w:val="00051E19"/>
    <w:rsid w:val="0005265A"/>
    <w:rsid w:val="00052F76"/>
    <w:rsid w:val="000539DD"/>
    <w:rsid w:val="00053BD3"/>
    <w:rsid w:val="000556ED"/>
    <w:rsid w:val="00055FE2"/>
    <w:rsid w:val="0005616F"/>
    <w:rsid w:val="00060C2E"/>
    <w:rsid w:val="00061033"/>
    <w:rsid w:val="0006161D"/>
    <w:rsid w:val="00061837"/>
    <w:rsid w:val="000619E9"/>
    <w:rsid w:val="000622D4"/>
    <w:rsid w:val="0006357D"/>
    <w:rsid w:val="00063B91"/>
    <w:rsid w:val="00064FA1"/>
    <w:rsid w:val="00066C9B"/>
    <w:rsid w:val="00067F1E"/>
    <w:rsid w:val="000705A9"/>
    <w:rsid w:val="00071CC0"/>
    <w:rsid w:val="00072D9F"/>
    <w:rsid w:val="00073C8C"/>
    <w:rsid w:val="00076F96"/>
    <w:rsid w:val="00077B64"/>
    <w:rsid w:val="00080A1C"/>
    <w:rsid w:val="000815DE"/>
    <w:rsid w:val="00082317"/>
    <w:rsid w:val="00083D2C"/>
    <w:rsid w:val="00086AA1"/>
    <w:rsid w:val="00087A77"/>
    <w:rsid w:val="00090CA6"/>
    <w:rsid w:val="00092B8A"/>
    <w:rsid w:val="00092FB0"/>
    <w:rsid w:val="00093117"/>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47D"/>
    <w:rsid w:val="000B6A0B"/>
    <w:rsid w:val="000C0CE1"/>
    <w:rsid w:val="000C0E93"/>
    <w:rsid w:val="000C0F6C"/>
    <w:rsid w:val="000C11DB"/>
    <w:rsid w:val="000C1492"/>
    <w:rsid w:val="000C2FBD"/>
    <w:rsid w:val="000C4B41"/>
    <w:rsid w:val="000C57D6"/>
    <w:rsid w:val="000C6362"/>
    <w:rsid w:val="000C7666"/>
    <w:rsid w:val="000D0A9C"/>
    <w:rsid w:val="000D1795"/>
    <w:rsid w:val="000D329A"/>
    <w:rsid w:val="000D43EC"/>
    <w:rsid w:val="000D4B9C"/>
    <w:rsid w:val="000D4EB6"/>
    <w:rsid w:val="000D753B"/>
    <w:rsid w:val="000E102C"/>
    <w:rsid w:val="000E1E69"/>
    <w:rsid w:val="000E4C9E"/>
    <w:rsid w:val="000E6FD7"/>
    <w:rsid w:val="000F06E1"/>
    <w:rsid w:val="000F0E3C"/>
    <w:rsid w:val="000F0E5F"/>
    <w:rsid w:val="000F19D5"/>
    <w:rsid w:val="000F4AEA"/>
    <w:rsid w:val="000F633F"/>
    <w:rsid w:val="000F67E9"/>
    <w:rsid w:val="00101C94"/>
    <w:rsid w:val="00104926"/>
    <w:rsid w:val="00113B1E"/>
    <w:rsid w:val="0011711C"/>
    <w:rsid w:val="0012059C"/>
    <w:rsid w:val="00124E4F"/>
    <w:rsid w:val="001260B7"/>
    <w:rsid w:val="001265CB"/>
    <w:rsid w:val="001271A2"/>
    <w:rsid w:val="001321C6"/>
    <w:rsid w:val="0013254E"/>
    <w:rsid w:val="001325C4"/>
    <w:rsid w:val="00133010"/>
    <w:rsid w:val="001335CE"/>
    <w:rsid w:val="001338EE"/>
    <w:rsid w:val="00133AAE"/>
    <w:rsid w:val="00135323"/>
    <w:rsid w:val="001356C4"/>
    <w:rsid w:val="00141114"/>
    <w:rsid w:val="00142969"/>
    <w:rsid w:val="001446C2"/>
    <w:rsid w:val="001457E7"/>
    <w:rsid w:val="00145D9D"/>
    <w:rsid w:val="00146388"/>
    <w:rsid w:val="001529E5"/>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3DFC"/>
    <w:rsid w:val="001852C9"/>
    <w:rsid w:val="00190087"/>
    <w:rsid w:val="001913C4"/>
    <w:rsid w:val="0019348F"/>
    <w:rsid w:val="00193A07"/>
    <w:rsid w:val="00194C95"/>
    <w:rsid w:val="00195C34"/>
    <w:rsid w:val="00195F06"/>
    <w:rsid w:val="00196EF5"/>
    <w:rsid w:val="001A08CE"/>
    <w:rsid w:val="001A1A53"/>
    <w:rsid w:val="001A234A"/>
    <w:rsid w:val="001A3ED6"/>
    <w:rsid w:val="001A4CF3"/>
    <w:rsid w:val="001B06E8"/>
    <w:rsid w:val="001B38DA"/>
    <w:rsid w:val="001B71CC"/>
    <w:rsid w:val="001B71D0"/>
    <w:rsid w:val="001B71EE"/>
    <w:rsid w:val="001C04A8"/>
    <w:rsid w:val="001C2C03"/>
    <w:rsid w:val="001C42F7"/>
    <w:rsid w:val="001C49E5"/>
    <w:rsid w:val="001C680C"/>
    <w:rsid w:val="001C7FEA"/>
    <w:rsid w:val="001D0499"/>
    <w:rsid w:val="001D0BBE"/>
    <w:rsid w:val="001D0ED4"/>
    <w:rsid w:val="001D212F"/>
    <w:rsid w:val="001D29D7"/>
    <w:rsid w:val="001D2DE7"/>
    <w:rsid w:val="001D411C"/>
    <w:rsid w:val="001D7351"/>
    <w:rsid w:val="001E1B6A"/>
    <w:rsid w:val="001E2484"/>
    <w:rsid w:val="001E3CC4"/>
    <w:rsid w:val="001E4882"/>
    <w:rsid w:val="001E73AB"/>
    <w:rsid w:val="001F092D"/>
    <w:rsid w:val="001F143A"/>
    <w:rsid w:val="001F1605"/>
    <w:rsid w:val="001F2508"/>
    <w:rsid w:val="001F3793"/>
    <w:rsid w:val="001F4816"/>
    <w:rsid w:val="001F4EE9"/>
    <w:rsid w:val="001F69B4"/>
    <w:rsid w:val="001F77C7"/>
    <w:rsid w:val="00200183"/>
    <w:rsid w:val="00200333"/>
    <w:rsid w:val="0020107D"/>
    <w:rsid w:val="00202150"/>
    <w:rsid w:val="00202AA4"/>
    <w:rsid w:val="00203168"/>
    <w:rsid w:val="002031F7"/>
    <w:rsid w:val="002040E6"/>
    <w:rsid w:val="0020527B"/>
    <w:rsid w:val="00205F2C"/>
    <w:rsid w:val="00210B15"/>
    <w:rsid w:val="00213B83"/>
    <w:rsid w:val="002142EA"/>
    <w:rsid w:val="002204BB"/>
    <w:rsid w:val="00221B79"/>
    <w:rsid w:val="00221C6B"/>
    <w:rsid w:val="002253A1"/>
    <w:rsid w:val="00225790"/>
    <w:rsid w:val="00225CF8"/>
    <w:rsid w:val="0022656F"/>
    <w:rsid w:val="0022794E"/>
    <w:rsid w:val="00231B79"/>
    <w:rsid w:val="00233D64"/>
    <w:rsid w:val="0023462F"/>
    <w:rsid w:val="0023482A"/>
    <w:rsid w:val="00234AA8"/>
    <w:rsid w:val="002359CB"/>
    <w:rsid w:val="00240D78"/>
    <w:rsid w:val="00243540"/>
    <w:rsid w:val="0024497B"/>
    <w:rsid w:val="0024515B"/>
    <w:rsid w:val="00246021"/>
    <w:rsid w:val="0024666E"/>
    <w:rsid w:val="00247F52"/>
    <w:rsid w:val="00250B25"/>
    <w:rsid w:val="00250BBE"/>
    <w:rsid w:val="002515C2"/>
    <w:rsid w:val="0025194F"/>
    <w:rsid w:val="0025455D"/>
    <w:rsid w:val="00256F13"/>
    <w:rsid w:val="0026148A"/>
    <w:rsid w:val="002619E4"/>
    <w:rsid w:val="00262696"/>
    <w:rsid w:val="00263D25"/>
    <w:rsid w:val="002643C3"/>
    <w:rsid w:val="00264A0C"/>
    <w:rsid w:val="00266EEB"/>
    <w:rsid w:val="00267EF4"/>
    <w:rsid w:val="00270CB8"/>
    <w:rsid w:val="00272B08"/>
    <w:rsid w:val="002771AC"/>
    <w:rsid w:val="00280FEC"/>
    <w:rsid w:val="00281BB8"/>
    <w:rsid w:val="00281E9E"/>
    <w:rsid w:val="00282405"/>
    <w:rsid w:val="00284864"/>
    <w:rsid w:val="00285170"/>
    <w:rsid w:val="00285361"/>
    <w:rsid w:val="00292D60"/>
    <w:rsid w:val="00293B30"/>
    <w:rsid w:val="00294D34"/>
    <w:rsid w:val="00294E3B"/>
    <w:rsid w:val="00295408"/>
    <w:rsid w:val="00296193"/>
    <w:rsid w:val="00296C66"/>
    <w:rsid w:val="00296EBE"/>
    <w:rsid w:val="002974E3"/>
    <w:rsid w:val="002A084B"/>
    <w:rsid w:val="002A1260"/>
    <w:rsid w:val="002A1589"/>
    <w:rsid w:val="002A1608"/>
    <w:rsid w:val="002A25DC"/>
    <w:rsid w:val="002A3AAB"/>
    <w:rsid w:val="002A4CEA"/>
    <w:rsid w:val="002A5977"/>
    <w:rsid w:val="002A5A13"/>
    <w:rsid w:val="002A757F"/>
    <w:rsid w:val="002A7F44"/>
    <w:rsid w:val="002B0C40"/>
    <w:rsid w:val="002B1966"/>
    <w:rsid w:val="002B1F67"/>
    <w:rsid w:val="002B4508"/>
    <w:rsid w:val="002B5779"/>
    <w:rsid w:val="002B7332"/>
    <w:rsid w:val="002B760C"/>
    <w:rsid w:val="002B7F51"/>
    <w:rsid w:val="002C09E7"/>
    <w:rsid w:val="002C1C6C"/>
    <w:rsid w:val="002C1E06"/>
    <w:rsid w:val="002C1E1C"/>
    <w:rsid w:val="002C3F07"/>
    <w:rsid w:val="002C5278"/>
    <w:rsid w:val="002C7EBB"/>
    <w:rsid w:val="002D06C1"/>
    <w:rsid w:val="002D42B5"/>
    <w:rsid w:val="002D44B5"/>
    <w:rsid w:val="002D4F1A"/>
    <w:rsid w:val="002D6EC6"/>
    <w:rsid w:val="002D79AC"/>
    <w:rsid w:val="002E039D"/>
    <w:rsid w:val="002E36F3"/>
    <w:rsid w:val="002E4D5A"/>
    <w:rsid w:val="002E6326"/>
    <w:rsid w:val="002F30E0"/>
    <w:rsid w:val="002F35E4"/>
    <w:rsid w:val="002F3730"/>
    <w:rsid w:val="002F38E1"/>
    <w:rsid w:val="002F7AF6"/>
    <w:rsid w:val="0030083F"/>
    <w:rsid w:val="00300E63"/>
    <w:rsid w:val="00302F5F"/>
    <w:rsid w:val="00303F92"/>
    <w:rsid w:val="0030441D"/>
    <w:rsid w:val="00306063"/>
    <w:rsid w:val="0030718E"/>
    <w:rsid w:val="00313B85"/>
    <w:rsid w:val="00315499"/>
    <w:rsid w:val="00317988"/>
    <w:rsid w:val="003221B4"/>
    <w:rsid w:val="0032258D"/>
    <w:rsid w:val="00322E62"/>
    <w:rsid w:val="00324D13"/>
    <w:rsid w:val="00324D2A"/>
    <w:rsid w:val="00324EDD"/>
    <w:rsid w:val="003331E4"/>
    <w:rsid w:val="00334E09"/>
    <w:rsid w:val="00336C64"/>
    <w:rsid w:val="00337162"/>
    <w:rsid w:val="0034171B"/>
    <w:rsid w:val="0034194F"/>
    <w:rsid w:val="00342C14"/>
    <w:rsid w:val="00344327"/>
    <w:rsid w:val="00344605"/>
    <w:rsid w:val="003474AA"/>
    <w:rsid w:val="003500EF"/>
    <w:rsid w:val="00350D1D"/>
    <w:rsid w:val="00352C83"/>
    <w:rsid w:val="003615D2"/>
    <w:rsid w:val="0036429C"/>
    <w:rsid w:val="00364A53"/>
    <w:rsid w:val="003654CB"/>
    <w:rsid w:val="00365AA9"/>
    <w:rsid w:val="00365F86"/>
    <w:rsid w:val="00365F87"/>
    <w:rsid w:val="00366E89"/>
    <w:rsid w:val="003705F4"/>
    <w:rsid w:val="00370D58"/>
    <w:rsid w:val="00371316"/>
    <w:rsid w:val="00371936"/>
    <w:rsid w:val="00376713"/>
    <w:rsid w:val="0037744C"/>
    <w:rsid w:val="00377B54"/>
    <w:rsid w:val="00381815"/>
    <w:rsid w:val="003819AB"/>
    <w:rsid w:val="003819AF"/>
    <w:rsid w:val="003820E9"/>
    <w:rsid w:val="00382DE7"/>
    <w:rsid w:val="003833F7"/>
    <w:rsid w:val="00384FFC"/>
    <w:rsid w:val="00386063"/>
    <w:rsid w:val="003872FC"/>
    <w:rsid w:val="00387ADC"/>
    <w:rsid w:val="00390020"/>
    <w:rsid w:val="003903D6"/>
    <w:rsid w:val="00390EE6"/>
    <w:rsid w:val="0039118F"/>
    <w:rsid w:val="0039136F"/>
    <w:rsid w:val="00392AD7"/>
    <w:rsid w:val="003938D9"/>
    <w:rsid w:val="00394178"/>
    <w:rsid w:val="00394376"/>
    <w:rsid w:val="00394390"/>
    <w:rsid w:val="003943FF"/>
    <w:rsid w:val="00394B96"/>
    <w:rsid w:val="00395700"/>
    <w:rsid w:val="00397477"/>
    <w:rsid w:val="003974EB"/>
    <w:rsid w:val="00397CC5"/>
    <w:rsid w:val="003A1078"/>
    <w:rsid w:val="003A1582"/>
    <w:rsid w:val="003A352C"/>
    <w:rsid w:val="003A4077"/>
    <w:rsid w:val="003A5123"/>
    <w:rsid w:val="003B09AD"/>
    <w:rsid w:val="003B1F18"/>
    <w:rsid w:val="003B2EF6"/>
    <w:rsid w:val="003B5BF0"/>
    <w:rsid w:val="003B60BF"/>
    <w:rsid w:val="003B6BE3"/>
    <w:rsid w:val="003C010C"/>
    <w:rsid w:val="003C0A6C"/>
    <w:rsid w:val="003C14F8"/>
    <w:rsid w:val="003C5A43"/>
    <w:rsid w:val="003C682F"/>
    <w:rsid w:val="003C76C4"/>
    <w:rsid w:val="003D0519"/>
    <w:rsid w:val="003D0FF6"/>
    <w:rsid w:val="003D262C"/>
    <w:rsid w:val="003D6D61"/>
    <w:rsid w:val="003D79C6"/>
    <w:rsid w:val="003E0432"/>
    <w:rsid w:val="003E091D"/>
    <w:rsid w:val="003E1C53"/>
    <w:rsid w:val="003E1D0F"/>
    <w:rsid w:val="003E2A69"/>
    <w:rsid w:val="003E2AAC"/>
    <w:rsid w:val="003E2D49"/>
    <w:rsid w:val="003E2FD4"/>
    <w:rsid w:val="003E49F6"/>
    <w:rsid w:val="003E4BC6"/>
    <w:rsid w:val="003E660F"/>
    <w:rsid w:val="003E7E1C"/>
    <w:rsid w:val="003F0841"/>
    <w:rsid w:val="003F23D3"/>
    <w:rsid w:val="003F3F08"/>
    <w:rsid w:val="003F49F1"/>
    <w:rsid w:val="003F6272"/>
    <w:rsid w:val="00400E72"/>
    <w:rsid w:val="00400F75"/>
    <w:rsid w:val="00401400"/>
    <w:rsid w:val="00404869"/>
    <w:rsid w:val="00405884"/>
    <w:rsid w:val="00406D95"/>
    <w:rsid w:val="00407D39"/>
    <w:rsid w:val="004106C0"/>
    <w:rsid w:val="004140C0"/>
    <w:rsid w:val="0041477A"/>
    <w:rsid w:val="004167A3"/>
    <w:rsid w:val="00417629"/>
    <w:rsid w:val="0042104E"/>
    <w:rsid w:val="00427604"/>
    <w:rsid w:val="00432DAA"/>
    <w:rsid w:val="00434305"/>
    <w:rsid w:val="00435DF7"/>
    <w:rsid w:val="0044083F"/>
    <w:rsid w:val="00441AE7"/>
    <w:rsid w:val="004428A7"/>
    <w:rsid w:val="00445574"/>
    <w:rsid w:val="004467FB"/>
    <w:rsid w:val="00452D6B"/>
    <w:rsid w:val="00454484"/>
    <w:rsid w:val="0045517B"/>
    <w:rsid w:val="004551A0"/>
    <w:rsid w:val="00456535"/>
    <w:rsid w:val="00463B77"/>
    <w:rsid w:val="00463C7B"/>
    <w:rsid w:val="004644A6"/>
    <w:rsid w:val="004652D5"/>
    <w:rsid w:val="004659BD"/>
    <w:rsid w:val="00470775"/>
    <w:rsid w:val="00472A34"/>
    <w:rsid w:val="004746B1"/>
    <w:rsid w:val="0047583F"/>
    <w:rsid w:val="00475DE8"/>
    <w:rsid w:val="00481C44"/>
    <w:rsid w:val="00484936"/>
    <w:rsid w:val="00485C89"/>
    <w:rsid w:val="00486BE3"/>
    <w:rsid w:val="004905E4"/>
    <w:rsid w:val="00490A89"/>
    <w:rsid w:val="00490AB4"/>
    <w:rsid w:val="00492F02"/>
    <w:rsid w:val="004939AE"/>
    <w:rsid w:val="00494038"/>
    <w:rsid w:val="00494C3F"/>
    <w:rsid w:val="004A12DF"/>
    <w:rsid w:val="004A17E6"/>
    <w:rsid w:val="004A1BA8"/>
    <w:rsid w:val="004A4B57"/>
    <w:rsid w:val="004A5FF2"/>
    <w:rsid w:val="004A63FA"/>
    <w:rsid w:val="004B0272"/>
    <w:rsid w:val="004B2701"/>
    <w:rsid w:val="004B2E1B"/>
    <w:rsid w:val="004B3AA8"/>
    <w:rsid w:val="004B3E93"/>
    <w:rsid w:val="004C05A2"/>
    <w:rsid w:val="004C0CF0"/>
    <w:rsid w:val="004C1FBC"/>
    <w:rsid w:val="004C3F1D"/>
    <w:rsid w:val="004C458D"/>
    <w:rsid w:val="004C7556"/>
    <w:rsid w:val="004C7BD9"/>
    <w:rsid w:val="004C7E8B"/>
    <w:rsid w:val="004C7E9D"/>
    <w:rsid w:val="004C7F67"/>
    <w:rsid w:val="004D076D"/>
    <w:rsid w:val="004D0EF1"/>
    <w:rsid w:val="004D2253"/>
    <w:rsid w:val="004D4406"/>
    <w:rsid w:val="004D55C8"/>
    <w:rsid w:val="004D7C42"/>
    <w:rsid w:val="004E0009"/>
    <w:rsid w:val="004E0465"/>
    <w:rsid w:val="004E127B"/>
    <w:rsid w:val="004E17F6"/>
    <w:rsid w:val="004E1C0A"/>
    <w:rsid w:val="004E2B06"/>
    <w:rsid w:val="004E30C5"/>
    <w:rsid w:val="004E4AA5"/>
    <w:rsid w:val="004E4AEE"/>
    <w:rsid w:val="004E59E3"/>
    <w:rsid w:val="004E67C0"/>
    <w:rsid w:val="004E6E41"/>
    <w:rsid w:val="004F391A"/>
    <w:rsid w:val="004F3CFB"/>
    <w:rsid w:val="004F6456"/>
    <w:rsid w:val="004F696E"/>
    <w:rsid w:val="004F6A60"/>
    <w:rsid w:val="004F6C71"/>
    <w:rsid w:val="004F757F"/>
    <w:rsid w:val="004F7DEB"/>
    <w:rsid w:val="00501139"/>
    <w:rsid w:val="00503291"/>
    <w:rsid w:val="0050363E"/>
    <w:rsid w:val="005039BC"/>
    <w:rsid w:val="005043BB"/>
    <w:rsid w:val="00504A3D"/>
    <w:rsid w:val="00505767"/>
    <w:rsid w:val="005073F0"/>
    <w:rsid w:val="00510A7B"/>
    <w:rsid w:val="00512A0D"/>
    <w:rsid w:val="00512F6E"/>
    <w:rsid w:val="00513038"/>
    <w:rsid w:val="00514174"/>
    <w:rsid w:val="00516088"/>
    <w:rsid w:val="00516B0B"/>
    <w:rsid w:val="005220EC"/>
    <w:rsid w:val="00523F95"/>
    <w:rsid w:val="00524A41"/>
    <w:rsid w:val="00524D65"/>
    <w:rsid w:val="00525094"/>
    <w:rsid w:val="00525B16"/>
    <w:rsid w:val="00532C68"/>
    <w:rsid w:val="00533D04"/>
    <w:rsid w:val="00534259"/>
    <w:rsid w:val="00534804"/>
    <w:rsid w:val="00534BDF"/>
    <w:rsid w:val="005354EA"/>
    <w:rsid w:val="0053585F"/>
    <w:rsid w:val="00535EC4"/>
    <w:rsid w:val="00535ED9"/>
    <w:rsid w:val="0053692B"/>
    <w:rsid w:val="00541853"/>
    <w:rsid w:val="00543BDA"/>
    <w:rsid w:val="005441CC"/>
    <w:rsid w:val="00545EAA"/>
    <w:rsid w:val="005479DA"/>
    <w:rsid w:val="00547BCC"/>
    <w:rsid w:val="0055013B"/>
    <w:rsid w:val="00551F6F"/>
    <w:rsid w:val="00552CA5"/>
    <w:rsid w:val="00555044"/>
    <w:rsid w:val="005571AD"/>
    <w:rsid w:val="00561475"/>
    <w:rsid w:val="00561D2A"/>
    <w:rsid w:val="0056288B"/>
    <w:rsid w:val="0056487B"/>
    <w:rsid w:val="00564FB9"/>
    <w:rsid w:val="00573D9E"/>
    <w:rsid w:val="005773E9"/>
    <w:rsid w:val="005801E3"/>
    <w:rsid w:val="00581802"/>
    <w:rsid w:val="005836A8"/>
    <w:rsid w:val="0058409C"/>
    <w:rsid w:val="00584262"/>
    <w:rsid w:val="00584C2C"/>
    <w:rsid w:val="00584DC7"/>
    <w:rsid w:val="00586630"/>
    <w:rsid w:val="00587ADD"/>
    <w:rsid w:val="00590D18"/>
    <w:rsid w:val="005915DD"/>
    <w:rsid w:val="00591E27"/>
    <w:rsid w:val="00594ABB"/>
    <w:rsid w:val="00596160"/>
    <w:rsid w:val="005966E2"/>
    <w:rsid w:val="00597007"/>
    <w:rsid w:val="005A0966"/>
    <w:rsid w:val="005A11B7"/>
    <w:rsid w:val="005A260B"/>
    <w:rsid w:val="005A4A1B"/>
    <w:rsid w:val="005A7830"/>
    <w:rsid w:val="005A7FCE"/>
    <w:rsid w:val="005B0F3F"/>
    <w:rsid w:val="005B2D11"/>
    <w:rsid w:val="005B3118"/>
    <w:rsid w:val="005B3735"/>
    <w:rsid w:val="005B4903"/>
    <w:rsid w:val="005B51CE"/>
    <w:rsid w:val="005B5885"/>
    <w:rsid w:val="005B5CD7"/>
    <w:rsid w:val="005B6CF6"/>
    <w:rsid w:val="005B7422"/>
    <w:rsid w:val="005C29B8"/>
    <w:rsid w:val="005C5F21"/>
    <w:rsid w:val="005C668F"/>
    <w:rsid w:val="005C6E17"/>
    <w:rsid w:val="005C7156"/>
    <w:rsid w:val="005D0C75"/>
    <w:rsid w:val="005D1F22"/>
    <w:rsid w:val="005D4171"/>
    <w:rsid w:val="005D6A95"/>
    <w:rsid w:val="005D6B2C"/>
    <w:rsid w:val="005D6D9C"/>
    <w:rsid w:val="005D7AE7"/>
    <w:rsid w:val="005E2335"/>
    <w:rsid w:val="005E2FCA"/>
    <w:rsid w:val="005E34CA"/>
    <w:rsid w:val="005E3C18"/>
    <w:rsid w:val="005E6812"/>
    <w:rsid w:val="005E7881"/>
    <w:rsid w:val="005E78E0"/>
    <w:rsid w:val="005F0D9C"/>
    <w:rsid w:val="005F185E"/>
    <w:rsid w:val="005F284E"/>
    <w:rsid w:val="005F4712"/>
    <w:rsid w:val="006015CE"/>
    <w:rsid w:val="00604784"/>
    <w:rsid w:val="006056EE"/>
    <w:rsid w:val="006058F6"/>
    <w:rsid w:val="00606419"/>
    <w:rsid w:val="00607D29"/>
    <w:rsid w:val="00612952"/>
    <w:rsid w:val="00614CC1"/>
    <w:rsid w:val="006156DF"/>
    <w:rsid w:val="00615A9D"/>
    <w:rsid w:val="00617387"/>
    <w:rsid w:val="006205D6"/>
    <w:rsid w:val="0062420D"/>
    <w:rsid w:val="006252D8"/>
    <w:rsid w:val="006259BC"/>
    <w:rsid w:val="0062636B"/>
    <w:rsid w:val="006301AD"/>
    <w:rsid w:val="00632182"/>
    <w:rsid w:val="00632AE0"/>
    <w:rsid w:val="00633C17"/>
    <w:rsid w:val="00634D9E"/>
    <w:rsid w:val="00635C5B"/>
    <w:rsid w:val="0063643D"/>
    <w:rsid w:val="00636863"/>
    <w:rsid w:val="00636E3E"/>
    <w:rsid w:val="006379F7"/>
    <w:rsid w:val="00637E4D"/>
    <w:rsid w:val="00640620"/>
    <w:rsid w:val="00641A1F"/>
    <w:rsid w:val="00645904"/>
    <w:rsid w:val="00646CE4"/>
    <w:rsid w:val="00651ACB"/>
    <w:rsid w:val="00651C47"/>
    <w:rsid w:val="00652AB2"/>
    <w:rsid w:val="00653FED"/>
    <w:rsid w:val="0065403C"/>
    <w:rsid w:val="00654EC0"/>
    <w:rsid w:val="0065525B"/>
    <w:rsid w:val="00655D4F"/>
    <w:rsid w:val="00656D29"/>
    <w:rsid w:val="006640E5"/>
    <w:rsid w:val="006646F1"/>
    <w:rsid w:val="00664929"/>
    <w:rsid w:val="00664F62"/>
    <w:rsid w:val="00665533"/>
    <w:rsid w:val="006655E1"/>
    <w:rsid w:val="00672060"/>
    <w:rsid w:val="00672BFD"/>
    <w:rsid w:val="006770F4"/>
    <w:rsid w:val="00677A84"/>
    <w:rsid w:val="0068026D"/>
    <w:rsid w:val="00680A27"/>
    <w:rsid w:val="00681687"/>
    <w:rsid w:val="006816A4"/>
    <w:rsid w:val="006819B8"/>
    <w:rsid w:val="006840A6"/>
    <w:rsid w:val="006850CD"/>
    <w:rsid w:val="00685AAB"/>
    <w:rsid w:val="00685D3A"/>
    <w:rsid w:val="00686072"/>
    <w:rsid w:val="006863CA"/>
    <w:rsid w:val="00687354"/>
    <w:rsid w:val="00693545"/>
    <w:rsid w:val="00695D22"/>
    <w:rsid w:val="006A07AA"/>
    <w:rsid w:val="006A25E5"/>
    <w:rsid w:val="006A2B46"/>
    <w:rsid w:val="006A2F5D"/>
    <w:rsid w:val="006A336D"/>
    <w:rsid w:val="006A37B9"/>
    <w:rsid w:val="006A7F43"/>
    <w:rsid w:val="006B2672"/>
    <w:rsid w:val="006B54BF"/>
    <w:rsid w:val="006B5F44"/>
    <w:rsid w:val="006B5F90"/>
    <w:rsid w:val="006B62E4"/>
    <w:rsid w:val="006C1BBA"/>
    <w:rsid w:val="006C2079"/>
    <w:rsid w:val="006C5A62"/>
    <w:rsid w:val="006C5D68"/>
    <w:rsid w:val="006C6976"/>
    <w:rsid w:val="006C6B55"/>
    <w:rsid w:val="006C6DD0"/>
    <w:rsid w:val="006D04EA"/>
    <w:rsid w:val="006D0AB7"/>
    <w:rsid w:val="006D16C4"/>
    <w:rsid w:val="006D3E96"/>
    <w:rsid w:val="006D3ED1"/>
    <w:rsid w:val="006D4515"/>
    <w:rsid w:val="006D4BB1"/>
    <w:rsid w:val="006D6593"/>
    <w:rsid w:val="006D73EE"/>
    <w:rsid w:val="006E23EA"/>
    <w:rsid w:val="006F03A8"/>
    <w:rsid w:val="006F1E42"/>
    <w:rsid w:val="006F2ACA"/>
    <w:rsid w:val="006F2ADC"/>
    <w:rsid w:val="006F2BFE"/>
    <w:rsid w:val="006F31E9"/>
    <w:rsid w:val="006F6284"/>
    <w:rsid w:val="007002C5"/>
    <w:rsid w:val="00704387"/>
    <w:rsid w:val="00707669"/>
    <w:rsid w:val="00711CBA"/>
    <w:rsid w:val="00711FB5"/>
    <w:rsid w:val="00712A01"/>
    <w:rsid w:val="00714F58"/>
    <w:rsid w:val="00720745"/>
    <w:rsid w:val="007222B6"/>
    <w:rsid w:val="00722FBF"/>
    <w:rsid w:val="00722FC2"/>
    <w:rsid w:val="00723D6C"/>
    <w:rsid w:val="00724879"/>
    <w:rsid w:val="00724E1B"/>
    <w:rsid w:val="00725949"/>
    <w:rsid w:val="00727716"/>
    <w:rsid w:val="00727FA2"/>
    <w:rsid w:val="007322D9"/>
    <w:rsid w:val="00732BC0"/>
    <w:rsid w:val="0073720F"/>
    <w:rsid w:val="00737796"/>
    <w:rsid w:val="007401E9"/>
    <w:rsid w:val="0074165C"/>
    <w:rsid w:val="00742C35"/>
    <w:rsid w:val="007432CA"/>
    <w:rsid w:val="007439EB"/>
    <w:rsid w:val="00743CB4"/>
    <w:rsid w:val="00743F0A"/>
    <w:rsid w:val="007441CE"/>
    <w:rsid w:val="007444E8"/>
    <w:rsid w:val="0074548E"/>
    <w:rsid w:val="00745773"/>
    <w:rsid w:val="00746800"/>
    <w:rsid w:val="00746B62"/>
    <w:rsid w:val="007470E5"/>
    <w:rsid w:val="007501A8"/>
    <w:rsid w:val="00750D61"/>
    <w:rsid w:val="00750EE1"/>
    <w:rsid w:val="007514A6"/>
    <w:rsid w:val="00751BFC"/>
    <w:rsid w:val="00752B4D"/>
    <w:rsid w:val="00755402"/>
    <w:rsid w:val="007568DD"/>
    <w:rsid w:val="00756B26"/>
    <w:rsid w:val="00756EDF"/>
    <w:rsid w:val="00757834"/>
    <w:rsid w:val="007600E3"/>
    <w:rsid w:val="0076300E"/>
    <w:rsid w:val="00765C43"/>
    <w:rsid w:val="00765EFB"/>
    <w:rsid w:val="007671CA"/>
    <w:rsid w:val="00767451"/>
    <w:rsid w:val="00767A39"/>
    <w:rsid w:val="00767C61"/>
    <w:rsid w:val="0077008A"/>
    <w:rsid w:val="00773C1F"/>
    <w:rsid w:val="00773F91"/>
    <w:rsid w:val="00774DA4"/>
    <w:rsid w:val="00775699"/>
    <w:rsid w:val="00776599"/>
    <w:rsid w:val="0078044C"/>
    <w:rsid w:val="0078114B"/>
    <w:rsid w:val="00781DD2"/>
    <w:rsid w:val="00783ECF"/>
    <w:rsid w:val="0078413A"/>
    <w:rsid w:val="0078443D"/>
    <w:rsid w:val="00790ECD"/>
    <w:rsid w:val="00791F87"/>
    <w:rsid w:val="007959E8"/>
    <w:rsid w:val="00795E9C"/>
    <w:rsid w:val="007A0521"/>
    <w:rsid w:val="007A18B9"/>
    <w:rsid w:val="007A2E12"/>
    <w:rsid w:val="007A3475"/>
    <w:rsid w:val="007A3A39"/>
    <w:rsid w:val="007A41C8"/>
    <w:rsid w:val="007A54CE"/>
    <w:rsid w:val="007A6FD9"/>
    <w:rsid w:val="007A7FFA"/>
    <w:rsid w:val="007B04EB"/>
    <w:rsid w:val="007B0D4F"/>
    <w:rsid w:val="007B5290"/>
    <w:rsid w:val="007B5A3D"/>
    <w:rsid w:val="007B5B95"/>
    <w:rsid w:val="007B68EA"/>
    <w:rsid w:val="007B7453"/>
    <w:rsid w:val="007C1E8B"/>
    <w:rsid w:val="007C2AD8"/>
    <w:rsid w:val="007C2D89"/>
    <w:rsid w:val="007C44C2"/>
    <w:rsid w:val="007C4593"/>
    <w:rsid w:val="007C5006"/>
    <w:rsid w:val="007C5309"/>
    <w:rsid w:val="007C5F81"/>
    <w:rsid w:val="007C6069"/>
    <w:rsid w:val="007D06C4"/>
    <w:rsid w:val="007D1352"/>
    <w:rsid w:val="007D211D"/>
    <w:rsid w:val="007D2508"/>
    <w:rsid w:val="007D346A"/>
    <w:rsid w:val="007D3A08"/>
    <w:rsid w:val="007D6518"/>
    <w:rsid w:val="007D76BD"/>
    <w:rsid w:val="007E00B0"/>
    <w:rsid w:val="007E0BF1"/>
    <w:rsid w:val="007E1BF5"/>
    <w:rsid w:val="007E3015"/>
    <w:rsid w:val="007E5373"/>
    <w:rsid w:val="007F0ED8"/>
    <w:rsid w:val="007F0F63"/>
    <w:rsid w:val="007F75CE"/>
    <w:rsid w:val="008002B6"/>
    <w:rsid w:val="008013A4"/>
    <w:rsid w:val="008027CE"/>
    <w:rsid w:val="00802F42"/>
    <w:rsid w:val="00803751"/>
    <w:rsid w:val="00804383"/>
    <w:rsid w:val="00804BB7"/>
    <w:rsid w:val="00804D41"/>
    <w:rsid w:val="00807603"/>
    <w:rsid w:val="00810257"/>
    <w:rsid w:val="008104F5"/>
    <w:rsid w:val="00811072"/>
    <w:rsid w:val="00811369"/>
    <w:rsid w:val="0081178D"/>
    <w:rsid w:val="00815419"/>
    <w:rsid w:val="008163C8"/>
    <w:rsid w:val="008164A1"/>
    <w:rsid w:val="00817325"/>
    <w:rsid w:val="008209E6"/>
    <w:rsid w:val="00823303"/>
    <w:rsid w:val="008233B2"/>
    <w:rsid w:val="00823A9F"/>
    <w:rsid w:val="00823C85"/>
    <w:rsid w:val="008245DA"/>
    <w:rsid w:val="00825138"/>
    <w:rsid w:val="008269DD"/>
    <w:rsid w:val="00830621"/>
    <w:rsid w:val="0083348C"/>
    <w:rsid w:val="008348AD"/>
    <w:rsid w:val="0083542F"/>
    <w:rsid w:val="008368D3"/>
    <w:rsid w:val="008373D3"/>
    <w:rsid w:val="00840617"/>
    <w:rsid w:val="00840B48"/>
    <w:rsid w:val="00840F84"/>
    <w:rsid w:val="00842A47"/>
    <w:rsid w:val="00843C13"/>
    <w:rsid w:val="008454F8"/>
    <w:rsid w:val="0085173A"/>
    <w:rsid w:val="00852F8B"/>
    <w:rsid w:val="00856316"/>
    <w:rsid w:val="008603CE"/>
    <w:rsid w:val="008620FC"/>
    <w:rsid w:val="008627A5"/>
    <w:rsid w:val="00862B74"/>
    <w:rsid w:val="00863E05"/>
    <w:rsid w:val="00865ACA"/>
    <w:rsid w:val="00865D28"/>
    <w:rsid w:val="00865F85"/>
    <w:rsid w:val="00867C10"/>
    <w:rsid w:val="00870439"/>
    <w:rsid w:val="00870872"/>
    <w:rsid w:val="00870DA1"/>
    <w:rsid w:val="00875253"/>
    <w:rsid w:val="00875AC5"/>
    <w:rsid w:val="00883F93"/>
    <w:rsid w:val="00884DB3"/>
    <w:rsid w:val="0088526E"/>
    <w:rsid w:val="00885A9D"/>
    <w:rsid w:val="008864F6"/>
    <w:rsid w:val="0089049D"/>
    <w:rsid w:val="0089146C"/>
    <w:rsid w:val="008928C9"/>
    <w:rsid w:val="008930CB"/>
    <w:rsid w:val="008938DC"/>
    <w:rsid w:val="00893FD1"/>
    <w:rsid w:val="00894836"/>
    <w:rsid w:val="00895172"/>
    <w:rsid w:val="00895680"/>
    <w:rsid w:val="00896DFF"/>
    <w:rsid w:val="00897511"/>
    <w:rsid w:val="00897581"/>
    <w:rsid w:val="0089762C"/>
    <w:rsid w:val="008A1893"/>
    <w:rsid w:val="008A3215"/>
    <w:rsid w:val="008A3DCA"/>
    <w:rsid w:val="008A57E6"/>
    <w:rsid w:val="008A6F81"/>
    <w:rsid w:val="008A769A"/>
    <w:rsid w:val="008B0C9C"/>
    <w:rsid w:val="008B1087"/>
    <w:rsid w:val="008B166D"/>
    <w:rsid w:val="008B17F4"/>
    <w:rsid w:val="008B1823"/>
    <w:rsid w:val="008B3615"/>
    <w:rsid w:val="008B4AC4"/>
    <w:rsid w:val="008B50C8"/>
    <w:rsid w:val="008B5281"/>
    <w:rsid w:val="008B7E05"/>
    <w:rsid w:val="008C085D"/>
    <w:rsid w:val="008C1797"/>
    <w:rsid w:val="008C219C"/>
    <w:rsid w:val="008C475E"/>
    <w:rsid w:val="008C619A"/>
    <w:rsid w:val="008C754E"/>
    <w:rsid w:val="008D0CE8"/>
    <w:rsid w:val="008D1940"/>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4C29"/>
    <w:rsid w:val="008F6C60"/>
    <w:rsid w:val="008F70BD"/>
    <w:rsid w:val="008F788F"/>
    <w:rsid w:val="008F7EA2"/>
    <w:rsid w:val="00902722"/>
    <w:rsid w:val="009027BC"/>
    <w:rsid w:val="009062E6"/>
    <w:rsid w:val="00911BE5"/>
    <w:rsid w:val="00913CA9"/>
    <w:rsid w:val="009145AE"/>
    <w:rsid w:val="009146CE"/>
    <w:rsid w:val="00914CA7"/>
    <w:rsid w:val="00915C3E"/>
    <w:rsid w:val="009161A8"/>
    <w:rsid w:val="00921DF3"/>
    <w:rsid w:val="0092214C"/>
    <w:rsid w:val="009245F5"/>
    <w:rsid w:val="009249EC"/>
    <w:rsid w:val="009273B3"/>
    <w:rsid w:val="009305B5"/>
    <w:rsid w:val="00933CF1"/>
    <w:rsid w:val="0094298A"/>
    <w:rsid w:val="009429D5"/>
    <w:rsid w:val="00942BF1"/>
    <w:rsid w:val="00942C72"/>
    <w:rsid w:val="0094418F"/>
    <w:rsid w:val="00945180"/>
    <w:rsid w:val="00945428"/>
    <w:rsid w:val="0094607B"/>
    <w:rsid w:val="00953604"/>
    <w:rsid w:val="0095496B"/>
    <w:rsid w:val="0095533F"/>
    <w:rsid w:val="00956323"/>
    <w:rsid w:val="00957B72"/>
    <w:rsid w:val="009610DC"/>
    <w:rsid w:val="00961490"/>
    <w:rsid w:val="0096381A"/>
    <w:rsid w:val="0096460B"/>
    <w:rsid w:val="00965E04"/>
    <w:rsid w:val="009674AD"/>
    <w:rsid w:val="00970CDC"/>
    <w:rsid w:val="00971DC8"/>
    <w:rsid w:val="00972DE4"/>
    <w:rsid w:val="00973F0B"/>
    <w:rsid w:val="0097405D"/>
    <w:rsid w:val="00977010"/>
    <w:rsid w:val="00977D02"/>
    <w:rsid w:val="00977F00"/>
    <w:rsid w:val="009809BB"/>
    <w:rsid w:val="0098104B"/>
    <w:rsid w:val="0098364B"/>
    <w:rsid w:val="009911AF"/>
    <w:rsid w:val="0099130D"/>
    <w:rsid w:val="00991875"/>
    <w:rsid w:val="00991F92"/>
    <w:rsid w:val="00992985"/>
    <w:rsid w:val="00993889"/>
    <w:rsid w:val="00994102"/>
    <w:rsid w:val="0099551B"/>
    <w:rsid w:val="00996504"/>
    <w:rsid w:val="00997BF1"/>
    <w:rsid w:val="009A089C"/>
    <w:rsid w:val="009A1019"/>
    <w:rsid w:val="009A118E"/>
    <w:rsid w:val="009A21CD"/>
    <w:rsid w:val="009A278C"/>
    <w:rsid w:val="009A2BC2"/>
    <w:rsid w:val="009A42C1"/>
    <w:rsid w:val="009A5429"/>
    <w:rsid w:val="009A72AD"/>
    <w:rsid w:val="009B00AB"/>
    <w:rsid w:val="009B09E0"/>
    <w:rsid w:val="009B0BC5"/>
    <w:rsid w:val="009B0D20"/>
    <w:rsid w:val="009B1247"/>
    <w:rsid w:val="009B36C6"/>
    <w:rsid w:val="009B46F9"/>
    <w:rsid w:val="009B4B77"/>
    <w:rsid w:val="009B6029"/>
    <w:rsid w:val="009B6971"/>
    <w:rsid w:val="009C03B9"/>
    <w:rsid w:val="009C27F1"/>
    <w:rsid w:val="009C3152"/>
    <w:rsid w:val="009C4CFA"/>
    <w:rsid w:val="009C5070"/>
    <w:rsid w:val="009C5605"/>
    <w:rsid w:val="009D063A"/>
    <w:rsid w:val="009D0F6E"/>
    <w:rsid w:val="009D112C"/>
    <w:rsid w:val="009D1953"/>
    <w:rsid w:val="009D47FA"/>
    <w:rsid w:val="009D4C5B"/>
    <w:rsid w:val="009D50D2"/>
    <w:rsid w:val="009D56A0"/>
    <w:rsid w:val="009D6BCA"/>
    <w:rsid w:val="009E0F62"/>
    <w:rsid w:val="009E4A58"/>
    <w:rsid w:val="009E5A2D"/>
    <w:rsid w:val="009E5AB2"/>
    <w:rsid w:val="009E6219"/>
    <w:rsid w:val="009F03B3"/>
    <w:rsid w:val="00A0096C"/>
    <w:rsid w:val="00A01757"/>
    <w:rsid w:val="00A028C0"/>
    <w:rsid w:val="00A02BAE"/>
    <w:rsid w:val="00A02F8D"/>
    <w:rsid w:val="00A05615"/>
    <w:rsid w:val="00A05CC2"/>
    <w:rsid w:val="00A06A6B"/>
    <w:rsid w:val="00A07E47"/>
    <w:rsid w:val="00A129D0"/>
    <w:rsid w:val="00A12C33"/>
    <w:rsid w:val="00A138BA"/>
    <w:rsid w:val="00A14B42"/>
    <w:rsid w:val="00A14C8E"/>
    <w:rsid w:val="00A153D9"/>
    <w:rsid w:val="00A15F09"/>
    <w:rsid w:val="00A169B6"/>
    <w:rsid w:val="00A21E3C"/>
    <w:rsid w:val="00A2271D"/>
    <w:rsid w:val="00A237D5"/>
    <w:rsid w:val="00A250D0"/>
    <w:rsid w:val="00A3025B"/>
    <w:rsid w:val="00A30EFC"/>
    <w:rsid w:val="00A31984"/>
    <w:rsid w:val="00A32D73"/>
    <w:rsid w:val="00A3367B"/>
    <w:rsid w:val="00A3597D"/>
    <w:rsid w:val="00A36DD1"/>
    <w:rsid w:val="00A4006C"/>
    <w:rsid w:val="00A40091"/>
    <w:rsid w:val="00A4030F"/>
    <w:rsid w:val="00A41C79"/>
    <w:rsid w:val="00A41CB5"/>
    <w:rsid w:val="00A42CDF"/>
    <w:rsid w:val="00A4452E"/>
    <w:rsid w:val="00A4472C"/>
    <w:rsid w:val="00A44E69"/>
    <w:rsid w:val="00A45334"/>
    <w:rsid w:val="00A4661E"/>
    <w:rsid w:val="00A518FE"/>
    <w:rsid w:val="00A54BDA"/>
    <w:rsid w:val="00A55BD6"/>
    <w:rsid w:val="00A55D50"/>
    <w:rsid w:val="00A56C5F"/>
    <w:rsid w:val="00A57142"/>
    <w:rsid w:val="00A6308B"/>
    <w:rsid w:val="00A648CD"/>
    <w:rsid w:val="00A6537A"/>
    <w:rsid w:val="00A67866"/>
    <w:rsid w:val="00A70B07"/>
    <w:rsid w:val="00A723F8"/>
    <w:rsid w:val="00A758C1"/>
    <w:rsid w:val="00A76BE4"/>
    <w:rsid w:val="00A77CCB"/>
    <w:rsid w:val="00A83D8D"/>
    <w:rsid w:val="00A8446B"/>
    <w:rsid w:val="00A8473F"/>
    <w:rsid w:val="00A857F7"/>
    <w:rsid w:val="00A862D6"/>
    <w:rsid w:val="00A8715E"/>
    <w:rsid w:val="00A9295B"/>
    <w:rsid w:val="00A93B09"/>
    <w:rsid w:val="00A94247"/>
    <w:rsid w:val="00A952D7"/>
    <w:rsid w:val="00A963F7"/>
    <w:rsid w:val="00A96AD8"/>
    <w:rsid w:val="00A9786B"/>
    <w:rsid w:val="00AA052C"/>
    <w:rsid w:val="00AA0F9D"/>
    <w:rsid w:val="00AA1022"/>
    <w:rsid w:val="00AA1E45"/>
    <w:rsid w:val="00AA2A88"/>
    <w:rsid w:val="00AA4286"/>
    <w:rsid w:val="00AA456B"/>
    <w:rsid w:val="00AA57F5"/>
    <w:rsid w:val="00AA6254"/>
    <w:rsid w:val="00AA672E"/>
    <w:rsid w:val="00AA6EC9"/>
    <w:rsid w:val="00AB41D5"/>
    <w:rsid w:val="00AB565D"/>
    <w:rsid w:val="00AB6309"/>
    <w:rsid w:val="00AB6C5F"/>
    <w:rsid w:val="00AB7129"/>
    <w:rsid w:val="00AB7DF6"/>
    <w:rsid w:val="00AC233B"/>
    <w:rsid w:val="00AC27A6"/>
    <w:rsid w:val="00AC30F7"/>
    <w:rsid w:val="00AC3A5A"/>
    <w:rsid w:val="00AC4D95"/>
    <w:rsid w:val="00AC5DF4"/>
    <w:rsid w:val="00AD0AEF"/>
    <w:rsid w:val="00AD11B7"/>
    <w:rsid w:val="00AD1A94"/>
    <w:rsid w:val="00AD1C05"/>
    <w:rsid w:val="00AD4126"/>
    <w:rsid w:val="00AD421C"/>
    <w:rsid w:val="00AD44FA"/>
    <w:rsid w:val="00AD4679"/>
    <w:rsid w:val="00AE070A"/>
    <w:rsid w:val="00AE101C"/>
    <w:rsid w:val="00AE37E5"/>
    <w:rsid w:val="00AE49AB"/>
    <w:rsid w:val="00AE5EB4"/>
    <w:rsid w:val="00AF0C18"/>
    <w:rsid w:val="00AF47C5"/>
    <w:rsid w:val="00AF5398"/>
    <w:rsid w:val="00B049AF"/>
    <w:rsid w:val="00B07242"/>
    <w:rsid w:val="00B10534"/>
    <w:rsid w:val="00B113DB"/>
    <w:rsid w:val="00B11D8A"/>
    <w:rsid w:val="00B12981"/>
    <w:rsid w:val="00B147DD"/>
    <w:rsid w:val="00B156FD"/>
    <w:rsid w:val="00B1627A"/>
    <w:rsid w:val="00B21F61"/>
    <w:rsid w:val="00B2448E"/>
    <w:rsid w:val="00B261F1"/>
    <w:rsid w:val="00B265BC"/>
    <w:rsid w:val="00B26A58"/>
    <w:rsid w:val="00B31FB1"/>
    <w:rsid w:val="00B3266B"/>
    <w:rsid w:val="00B33319"/>
    <w:rsid w:val="00B33952"/>
    <w:rsid w:val="00B33C5E"/>
    <w:rsid w:val="00B342F4"/>
    <w:rsid w:val="00B34369"/>
    <w:rsid w:val="00B34DC2"/>
    <w:rsid w:val="00B360A6"/>
    <w:rsid w:val="00B378E5"/>
    <w:rsid w:val="00B4346D"/>
    <w:rsid w:val="00B440F4"/>
    <w:rsid w:val="00B447A5"/>
    <w:rsid w:val="00B4654C"/>
    <w:rsid w:val="00B46AF0"/>
    <w:rsid w:val="00B47293"/>
    <w:rsid w:val="00B50E50"/>
    <w:rsid w:val="00B5107E"/>
    <w:rsid w:val="00B52120"/>
    <w:rsid w:val="00B524D5"/>
    <w:rsid w:val="00B54ABC"/>
    <w:rsid w:val="00B54DDE"/>
    <w:rsid w:val="00B56FBE"/>
    <w:rsid w:val="00B60ACF"/>
    <w:rsid w:val="00B62B58"/>
    <w:rsid w:val="00B62E05"/>
    <w:rsid w:val="00B65149"/>
    <w:rsid w:val="00B66567"/>
    <w:rsid w:val="00B66F52"/>
    <w:rsid w:val="00B66FE5"/>
    <w:rsid w:val="00B70E09"/>
    <w:rsid w:val="00B7103F"/>
    <w:rsid w:val="00B72880"/>
    <w:rsid w:val="00B7330E"/>
    <w:rsid w:val="00B758BF"/>
    <w:rsid w:val="00B77EC8"/>
    <w:rsid w:val="00B80A88"/>
    <w:rsid w:val="00B827A6"/>
    <w:rsid w:val="00B831CE"/>
    <w:rsid w:val="00B86677"/>
    <w:rsid w:val="00B87131"/>
    <w:rsid w:val="00B87C2D"/>
    <w:rsid w:val="00B914AB"/>
    <w:rsid w:val="00B9383E"/>
    <w:rsid w:val="00B939B1"/>
    <w:rsid w:val="00B96D40"/>
    <w:rsid w:val="00B97386"/>
    <w:rsid w:val="00BA263B"/>
    <w:rsid w:val="00BA42B2"/>
    <w:rsid w:val="00BA58D4"/>
    <w:rsid w:val="00BA5B9E"/>
    <w:rsid w:val="00BA7C9A"/>
    <w:rsid w:val="00BB05FD"/>
    <w:rsid w:val="00BB203B"/>
    <w:rsid w:val="00BB4391"/>
    <w:rsid w:val="00BB5F8F"/>
    <w:rsid w:val="00BB657A"/>
    <w:rsid w:val="00BC1A4E"/>
    <w:rsid w:val="00BC40BE"/>
    <w:rsid w:val="00BC4790"/>
    <w:rsid w:val="00BC5DC7"/>
    <w:rsid w:val="00BC6B8B"/>
    <w:rsid w:val="00BC73D8"/>
    <w:rsid w:val="00BD42DE"/>
    <w:rsid w:val="00BD432B"/>
    <w:rsid w:val="00BD52D7"/>
    <w:rsid w:val="00BD5AD2"/>
    <w:rsid w:val="00BE1C93"/>
    <w:rsid w:val="00BE22F3"/>
    <w:rsid w:val="00BE5B52"/>
    <w:rsid w:val="00BE7B8D"/>
    <w:rsid w:val="00BF0993"/>
    <w:rsid w:val="00BF10A9"/>
    <w:rsid w:val="00BF1703"/>
    <w:rsid w:val="00BF1739"/>
    <w:rsid w:val="00BF231C"/>
    <w:rsid w:val="00BF51E5"/>
    <w:rsid w:val="00BF6626"/>
    <w:rsid w:val="00BF74A6"/>
    <w:rsid w:val="00C00E95"/>
    <w:rsid w:val="00C013AD"/>
    <w:rsid w:val="00C04904"/>
    <w:rsid w:val="00C056B3"/>
    <w:rsid w:val="00C05BF7"/>
    <w:rsid w:val="00C103E5"/>
    <w:rsid w:val="00C11994"/>
    <w:rsid w:val="00C13319"/>
    <w:rsid w:val="00C1334A"/>
    <w:rsid w:val="00C134F7"/>
    <w:rsid w:val="00C13EE9"/>
    <w:rsid w:val="00C141B4"/>
    <w:rsid w:val="00C14D97"/>
    <w:rsid w:val="00C20135"/>
    <w:rsid w:val="00C21540"/>
    <w:rsid w:val="00C21906"/>
    <w:rsid w:val="00C21BFA"/>
    <w:rsid w:val="00C22148"/>
    <w:rsid w:val="00C249E7"/>
    <w:rsid w:val="00C24C8D"/>
    <w:rsid w:val="00C2595C"/>
    <w:rsid w:val="00C25FE2"/>
    <w:rsid w:val="00C26062"/>
    <w:rsid w:val="00C26B53"/>
    <w:rsid w:val="00C279B2"/>
    <w:rsid w:val="00C31EE6"/>
    <w:rsid w:val="00C33E50"/>
    <w:rsid w:val="00C34C20"/>
    <w:rsid w:val="00C35A3E"/>
    <w:rsid w:val="00C40680"/>
    <w:rsid w:val="00C42130"/>
    <w:rsid w:val="00C423A4"/>
    <w:rsid w:val="00C44BF5"/>
    <w:rsid w:val="00C47251"/>
    <w:rsid w:val="00C521D6"/>
    <w:rsid w:val="00C55232"/>
    <w:rsid w:val="00C553A4"/>
    <w:rsid w:val="00C55A06"/>
    <w:rsid w:val="00C55D03"/>
    <w:rsid w:val="00C56752"/>
    <w:rsid w:val="00C573F9"/>
    <w:rsid w:val="00C601BC"/>
    <w:rsid w:val="00C602A9"/>
    <w:rsid w:val="00C61B73"/>
    <w:rsid w:val="00C62607"/>
    <w:rsid w:val="00C6329F"/>
    <w:rsid w:val="00C63340"/>
    <w:rsid w:val="00C643F9"/>
    <w:rsid w:val="00C64E95"/>
    <w:rsid w:val="00C65EE5"/>
    <w:rsid w:val="00C71372"/>
    <w:rsid w:val="00C7178A"/>
    <w:rsid w:val="00C72410"/>
    <w:rsid w:val="00C7287F"/>
    <w:rsid w:val="00C80CB8"/>
    <w:rsid w:val="00C819F8"/>
    <w:rsid w:val="00C8248C"/>
    <w:rsid w:val="00C84015"/>
    <w:rsid w:val="00C84E33"/>
    <w:rsid w:val="00C860CA"/>
    <w:rsid w:val="00C86D6F"/>
    <w:rsid w:val="00C905FC"/>
    <w:rsid w:val="00C92D03"/>
    <w:rsid w:val="00C9319C"/>
    <w:rsid w:val="00C9435D"/>
    <w:rsid w:val="00C94DF2"/>
    <w:rsid w:val="00C96741"/>
    <w:rsid w:val="00CA2D1B"/>
    <w:rsid w:val="00CA375D"/>
    <w:rsid w:val="00CA662A"/>
    <w:rsid w:val="00CA7AFD"/>
    <w:rsid w:val="00CA7C3C"/>
    <w:rsid w:val="00CB0189"/>
    <w:rsid w:val="00CB0BA2"/>
    <w:rsid w:val="00CB1A42"/>
    <w:rsid w:val="00CB1B0C"/>
    <w:rsid w:val="00CB2A68"/>
    <w:rsid w:val="00CB2C0B"/>
    <w:rsid w:val="00CB517D"/>
    <w:rsid w:val="00CB7F43"/>
    <w:rsid w:val="00CC038D"/>
    <w:rsid w:val="00CC08DB"/>
    <w:rsid w:val="00CC39FF"/>
    <w:rsid w:val="00CC3C2F"/>
    <w:rsid w:val="00CC4AC8"/>
    <w:rsid w:val="00CC5233"/>
    <w:rsid w:val="00CC5980"/>
    <w:rsid w:val="00CC5DE6"/>
    <w:rsid w:val="00CC6B80"/>
    <w:rsid w:val="00CC6E4E"/>
    <w:rsid w:val="00CC6FE8"/>
    <w:rsid w:val="00CC7202"/>
    <w:rsid w:val="00CC75CE"/>
    <w:rsid w:val="00CD2808"/>
    <w:rsid w:val="00CD28BF"/>
    <w:rsid w:val="00CD37BA"/>
    <w:rsid w:val="00CD4092"/>
    <w:rsid w:val="00CD4A20"/>
    <w:rsid w:val="00CD50A1"/>
    <w:rsid w:val="00CD50AD"/>
    <w:rsid w:val="00CD519E"/>
    <w:rsid w:val="00CD561D"/>
    <w:rsid w:val="00CD6B04"/>
    <w:rsid w:val="00CE08F9"/>
    <w:rsid w:val="00CE0C4F"/>
    <w:rsid w:val="00CE30EA"/>
    <w:rsid w:val="00CE55ED"/>
    <w:rsid w:val="00CF048A"/>
    <w:rsid w:val="00CF155A"/>
    <w:rsid w:val="00CF2947"/>
    <w:rsid w:val="00CF686F"/>
    <w:rsid w:val="00CF6AA3"/>
    <w:rsid w:val="00CF6E60"/>
    <w:rsid w:val="00CF7BCA"/>
    <w:rsid w:val="00D008FD"/>
    <w:rsid w:val="00D0321C"/>
    <w:rsid w:val="00D035EC"/>
    <w:rsid w:val="00D06AB1"/>
    <w:rsid w:val="00D072ED"/>
    <w:rsid w:val="00D07A16"/>
    <w:rsid w:val="00D1067E"/>
    <w:rsid w:val="00D10F50"/>
    <w:rsid w:val="00D11272"/>
    <w:rsid w:val="00D126F5"/>
    <w:rsid w:val="00D141BD"/>
    <w:rsid w:val="00D1489E"/>
    <w:rsid w:val="00D15A5C"/>
    <w:rsid w:val="00D20737"/>
    <w:rsid w:val="00D21E81"/>
    <w:rsid w:val="00D223DE"/>
    <w:rsid w:val="00D24DDD"/>
    <w:rsid w:val="00D24FE0"/>
    <w:rsid w:val="00D25E37"/>
    <w:rsid w:val="00D2661A"/>
    <w:rsid w:val="00D27582"/>
    <w:rsid w:val="00D27EC4"/>
    <w:rsid w:val="00D32719"/>
    <w:rsid w:val="00D33333"/>
    <w:rsid w:val="00D33457"/>
    <w:rsid w:val="00D352A2"/>
    <w:rsid w:val="00D36416"/>
    <w:rsid w:val="00D4162B"/>
    <w:rsid w:val="00D438EC"/>
    <w:rsid w:val="00D43FD1"/>
    <w:rsid w:val="00D4514F"/>
    <w:rsid w:val="00D451E2"/>
    <w:rsid w:val="00D45E89"/>
    <w:rsid w:val="00D45E8D"/>
    <w:rsid w:val="00D466AE"/>
    <w:rsid w:val="00D4734F"/>
    <w:rsid w:val="00D51BF3"/>
    <w:rsid w:val="00D6328C"/>
    <w:rsid w:val="00D66846"/>
    <w:rsid w:val="00D675FB"/>
    <w:rsid w:val="00D70583"/>
    <w:rsid w:val="00D71F25"/>
    <w:rsid w:val="00D72A9C"/>
    <w:rsid w:val="00D77031"/>
    <w:rsid w:val="00D84941"/>
    <w:rsid w:val="00D84FA1"/>
    <w:rsid w:val="00D851F0"/>
    <w:rsid w:val="00D86DB7"/>
    <w:rsid w:val="00D91C47"/>
    <w:rsid w:val="00D926D0"/>
    <w:rsid w:val="00D93030"/>
    <w:rsid w:val="00D93143"/>
    <w:rsid w:val="00D93F93"/>
    <w:rsid w:val="00D950E1"/>
    <w:rsid w:val="00D952A6"/>
    <w:rsid w:val="00D96578"/>
    <w:rsid w:val="00D97F99"/>
    <w:rsid w:val="00DA1E08"/>
    <w:rsid w:val="00DA24F8"/>
    <w:rsid w:val="00DA2700"/>
    <w:rsid w:val="00DA28E8"/>
    <w:rsid w:val="00DA38D3"/>
    <w:rsid w:val="00DA3932"/>
    <w:rsid w:val="00DA3AFC"/>
    <w:rsid w:val="00DA5191"/>
    <w:rsid w:val="00DA64F8"/>
    <w:rsid w:val="00DA6C15"/>
    <w:rsid w:val="00DA76BD"/>
    <w:rsid w:val="00DB0258"/>
    <w:rsid w:val="00DB287D"/>
    <w:rsid w:val="00DB38EE"/>
    <w:rsid w:val="00DB498B"/>
    <w:rsid w:val="00DB66CA"/>
    <w:rsid w:val="00DB6BCA"/>
    <w:rsid w:val="00DB73F7"/>
    <w:rsid w:val="00DB7CA6"/>
    <w:rsid w:val="00DC0321"/>
    <w:rsid w:val="00DC3067"/>
    <w:rsid w:val="00DC370B"/>
    <w:rsid w:val="00DC5B90"/>
    <w:rsid w:val="00DD00FF"/>
    <w:rsid w:val="00DD0619"/>
    <w:rsid w:val="00DD07FB"/>
    <w:rsid w:val="00DD25C6"/>
    <w:rsid w:val="00DD4FE5"/>
    <w:rsid w:val="00DD541E"/>
    <w:rsid w:val="00DD54B0"/>
    <w:rsid w:val="00DD57EE"/>
    <w:rsid w:val="00DD6959"/>
    <w:rsid w:val="00DD6A4E"/>
    <w:rsid w:val="00DD6BCC"/>
    <w:rsid w:val="00DE0A4B"/>
    <w:rsid w:val="00DE2410"/>
    <w:rsid w:val="00DE2670"/>
    <w:rsid w:val="00DE2939"/>
    <w:rsid w:val="00DE6E81"/>
    <w:rsid w:val="00DE703F"/>
    <w:rsid w:val="00DE7595"/>
    <w:rsid w:val="00DF1961"/>
    <w:rsid w:val="00DF2B31"/>
    <w:rsid w:val="00DF44DE"/>
    <w:rsid w:val="00DF5F11"/>
    <w:rsid w:val="00E01138"/>
    <w:rsid w:val="00E02DFB"/>
    <w:rsid w:val="00E030F9"/>
    <w:rsid w:val="00E0311A"/>
    <w:rsid w:val="00E03138"/>
    <w:rsid w:val="00E03660"/>
    <w:rsid w:val="00E061DB"/>
    <w:rsid w:val="00E06404"/>
    <w:rsid w:val="00E065D2"/>
    <w:rsid w:val="00E11A85"/>
    <w:rsid w:val="00E12495"/>
    <w:rsid w:val="00E15CCD"/>
    <w:rsid w:val="00E17252"/>
    <w:rsid w:val="00E202EF"/>
    <w:rsid w:val="00E209C4"/>
    <w:rsid w:val="00E210B5"/>
    <w:rsid w:val="00E23D99"/>
    <w:rsid w:val="00E2552F"/>
    <w:rsid w:val="00E3137A"/>
    <w:rsid w:val="00E32CCF"/>
    <w:rsid w:val="00E34A98"/>
    <w:rsid w:val="00E35D1E"/>
    <w:rsid w:val="00E364F9"/>
    <w:rsid w:val="00E365FA"/>
    <w:rsid w:val="00E36789"/>
    <w:rsid w:val="00E367C5"/>
    <w:rsid w:val="00E43410"/>
    <w:rsid w:val="00E44784"/>
    <w:rsid w:val="00E44A83"/>
    <w:rsid w:val="00E502C1"/>
    <w:rsid w:val="00E502DD"/>
    <w:rsid w:val="00E50D3A"/>
    <w:rsid w:val="00E51387"/>
    <w:rsid w:val="00E51E68"/>
    <w:rsid w:val="00E52EFD"/>
    <w:rsid w:val="00E5408A"/>
    <w:rsid w:val="00E5505F"/>
    <w:rsid w:val="00E55CC0"/>
    <w:rsid w:val="00E56800"/>
    <w:rsid w:val="00E60C63"/>
    <w:rsid w:val="00E617CD"/>
    <w:rsid w:val="00E61CCC"/>
    <w:rsid w:val="00E621F5"/>
    <w:rsid w:val="00E62FF9"/>
    <w:rsid w:val="00E635D6"/>
    <w:rsid w:val="00E639BC"/>
    <w:rsid w:val="00E664CC"/>
    <w:rsid w:val="00E70388"/>
    <w:rsid w:val="00E70F92"/>
    <w:rsid w:val="00E74C54"/>
    <w:rsid w:val="00E77A03"/>
    <w:rsid w:val="00E822E8"/>
    <w:rsid w:val="00E82554"/>
    <w:rsid w:val="00E82606"/>
    <w:rsid w:val="00E846C8"/>
    <w:rsid w:val="00E84957"/>
    <w:rsid w:val="00E84A55"/>
    <w:rsid w:val="00E84E4F"/>
    <w:rsid w:val="00E85BFF"/>
    <w:rsid w:val="00E90391"/>
    <w:rsid w:val="00E906C2"/>
    <w:rsid w:val="00E9311F"/>
    <w:rsid w:val="00E934D1"/>
    <w:rsid w:val="00E93FEF"/>
    <w:rsid w:val="00E94AF0"/>
    <w:rsid w:val="00E95D13"/>
    <w:rsid w:val="00E95DD3"/>
    <w:rsid w:val="00E969D5"/>
    <w:rsid w:val="00EA431B"/>
    <w:rsid w:val="00EA58D1"/>
    <w:rsid w:val="00EA61BC"/>
    <w:rsid w:val="00EA681A"/>
    <w:rsid w:val="00EA735B"/>
    <w:rsid w:val="00EB17DE"/>
    <w:rsid w:val="00EB1E69"/>
    <w:rsid w:val="00EB2086"/>
    <w:rsid w:val="00EB5EDF"/>
    <w:rsid w:val="00EB60FE"/>
    <w:rsid w:val="00EB61CC"/>
    <w:rsid w:val="00EB72DF"/>
    <w:rsid w:val="00EB74DB"/>
    <w:rsid w:val="00EC5359"/>
    <w:rsid w:val="00EC562A"/>
    <w:rsid w:val="00EC7EFB"/>
    <w:rsid w:val="00ED067A"/>
    <w:rsid w:val="00ED2B50"/>
    <w:rsid w:val="00ED4EC4"/>
    <w:rsid w:val="00ED7F51"/>
    <w:rsid w:val="00EE0350"/>
    <w:rsid w:val="00EE0719"/>
    <w:rsid w:val="00EE092F"/>
    <w:rsid w:val="00EE0E80"/>
    <w:rsid w:val="00EE1C2E"/>
    <w:rsid w:val="00EE54A6"/>
    <w:rsid w:val="00EE581D"/>
    <w:rsid w:val="00EE613F"/>
    <w:rsid w:val="00EE6E42"/>
    <w:rsid w:val="00EE7295"/>
    <w:rsid w:val="00EE7869"/>
    <w:rsid w:val="00EF054A"/>
    <w:rsid w:val="00EF3235"/>
    <w:rsid w:val="00EF7E72"/>
    <w:rsid w:val="00F05C67"/>
    <w:rsid w:val="00F063CD"/>
    <w:rsid w:val="00F06D37"/>
    <w:rsid w:val="00F07B9D"/>
    <w:rsid w:val="00F11586"/>
    <w:rsid w:val="00F1183B"/>
    <w:rsid w:val="00F11C9F"/>
    <w:rsid w:val="00F12263"/>
    <w:rsid w:val="00F1409D"/>
    <w:rsid w:val="00F14214"/>
    <w:rsid w:val="00F14DF3"/>
    <w:rsid w:val="00F157A9"/>
    <w:rsid w:val="00F25BB6"/>
    <w:rsid w:val="00F26B7E"/>
    <w:rsid w:val="00F27A3B"/>
    <w:rsid w:val="00F33817"/>
    <w:rsid w:val="00F3625C"/>
    <w:rsid w:val="00F420D5"/>
    <w:rsid w:val="00F4441D"/>
    <w:rsid w:val="00F451EA"/>
    <w:rsid w:val="00F45447"/>
    <w:rsid w:val="00F456C6"/>
    <w:rsid w:val="00F4577B"/>
    <w:rsid w:val="00F45876"/>
    <w:rsid w:val="00F46496"/>
    <w:rsid w:val="00F474D0"/>
    <w:rsid w:val="00F50179"/>
    <w:rsid w:val="00F515EE"/>
    <w:rsid w:val="00F56511"/>
    <w:rsid w:val="00F6194E"/>
    <w:rsid w:val="00F623AC"/>
    <w:rsid w:val="00F6412A"/>
    <w:rsid w:val="00F65893"/>
    <w:rsid w:val="00F66A4A"/>
    <w:rsid w:val="00F70A02"/>
    <w:rsid w:val="00F71E22"/>
    <w:rsid w:val="00F72142"/>
    <w:rsid w:val="00F72AE7"/>
    <w:rsid w:val="00F7454B"/>
    <w:rsid w:val="00F76170"/>
    <w:rsid w:val="00F81141"/>
    <w:rsid w:val="00F833BA"/>
    <w:rsid w:val="00F84FD0"/>
    <w:rsid w:val="00F859A8"/>
    <w:rsid w:val="00F85AFA"/>
    <w:rsid w:val="00F86D87"/>
    <w:rsid w:val="00F9108B"/>
    <w:rsid w:val="00F91349"/>
    <w:rsid w:val="00F93A8A"/>
    <w:rsid w:val="00F95248"/>
    <w:rsid w:val="00F956A9"/>
    <w:rsid w:val="00F963ED"/>
    <w:rsid w:val="00F966CF"/>
    <w:rsid w:val="00F96C76"/>
    <w:rsid w:val="00F96CAE"/>
    <w:rsid w:val="00F97C99"/>
    <w:rsid w:val="00FA44D2"/>
    <w:rsid w:val="00FA4DAC"/>
    <w:rsid w:val="00FA662D"/>
    <w:rsid w:val="00FA73B1"/>
    <w:rsid w:val="00FB0CB9"/>
    <w:rsid w:val="00FB231D"/>
    <w:rsid w:val="00FB45F1"/>
    <w:rsid w:val="00FB4A72"/>
    <w:rsid w:val="00FB54E8"/>
    <w:rsid w:val="00FB7054"/>
    <w:rsid w:val="00FB7459"/>
    <w:rsid w:val="00FC17B7"/>
    <w:rsid w:val="00FC2AF1"/>
    <w:rsid w:val="00FC2CB7"/>
    <w:rsid w:val="00FC4090"/>
    <w:rsid w:val="00FC55B4"/>
    <w:rsid w:val="00FD00E6"/>
    <w:rsid w:val="00FD09A1"/>
    <w:rsid w:val="00FD2A7C"/>
    <w:rsid w:val="00FD59EB"/>
    <w:rsid w:val="00FD7299"/>
    <w:rsid w:val="00FE1FBE"/>
    <w:rsid w:val="00FE27B0"/>
    <w:rsid w:val="00FE3901"/>
    <w:rsid w:val="00FE39D3"/>
    <w:rsid w:val="00FE4BCE"/>
    <w:rsid w:val="00FE54AE"/>
    <w:rsid w:val="00FE576A"/>
    <w:rsid w:val="00FE7E79"/>
    <w:rsid w:val="00FF009D"/>
    <w:rsid w:val="00FF3E7D"/>
    <w:rsid w:val="00FF5B99"/>
    <w:rsid w:val="00FF730C"/>
    <w:rsid w:val="00FF73F4"/>
    <w:rsid w:val="00FF7CE4"/>
    <w:rsid w:val="00FF7E39"/>
    <w:rsid w:val="43FFF4B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0" w:name="toc 8"/>
    <w:lsdException w:uiPriority="0" w:name="toc 9"/>
    <w:lsdException w:qFormat="1" w:unhideWhenUsed="0" w:uiPriority="0" w:semiHidden="0" w:name="Normal Indent"/>
    <w:lsdException w:qFormat="1" w:unhideWhenUsed="0" w:uiPriority="0"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400" w:lineRule="exact"/>
      <w:jc w:val="both"/>
    </w:pPr>
    <w:rPr>
      <w:rFonts w:ascii="Calibri" w:hAnsi="Calibri" w:eastAsia="宋体" w:cs="Times New Roman"/>
      <w:kern w:val="2"/>
      <w:sz w:val="21"/>
      <w:szCs w:val="21"/>
      <w:lang w:val="en-US" w:eastAsia="zh-CN" w:bidi="ar-SA"/>
    </w:rPr>
  </w:style>
  <w:style w:type="paragraph" w:styleId="2">
    <w:name w:val="heading 1"/>
    <w:basedOn w:val="1"/>
    <w:next w:val="1"/>
    <w:link w:val="35"/>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6"/>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7"/>
    <w:qFormat/>
    <w:uiPriority w:val="0"/>
    <w:pPr>
      <w:keepNext/>
      <w:keepLines/>
      <w:spacing w:before="260" w:after="260" w:line="416" w:lineRule="auto"/>
      <w:outlineLvl w:val="2"/>
    </w:pPr>
    <w:rPr>
      <w:b/>
      <w:bCs/>
      <w:sz w:val="32"/>
      <w:szCs w:val="32"/>
    </w:rPr>
  </w:style>
  <w:style w:type="paragraph" w:styleId="5">
    <w:name w:val="heading 4"/>
    <w:basedOn w:val="1"/>
    <w:next w:val="1"/>
    <w:link w:val="38"/>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39"/>
    <w:qFormat/>
    <w:uiPriority w:val="0"/>
    <w:pPr>
      <w:keepNext/>
      <w:keepLines/>
      <w:adjustRightInd/>
      <w:spacing w:before="280" w:after="290" w:line="376" w:lineRule="auto"/>
      <w:outlineLvl w:val="4"/>
    </w:pPr>
    <w:rPr>
      <w:b/>
      <w:bCs/>
      <w:sz w:val="28"/>
      <w:szCs w:val="28"/>
    </w:rPr>
  </w:style>
  <w:style w:type="paragraph" w:styleId="7">
    <w:name w:val="heading 6"/>
    <w:basedOn w:val="1"/>
    <w:next w:val="1"/>
    <w:link w:val="40"/>
    <w:qFormat/>
    <w:uiPriority w:val="0"/>
    <w:pPr>
      <w:keepNext/>
      <w:keepLines/>
      <w:adjustRightInd/>
      <w:spacing w:before="240" w:after="64" w:line="320" w:lineRule="auto"/>
      <w:outlineLvl w:val="5"/>
    </w:pPr>
    <w:rPr>
      <w:rFonts w:ascii="Arial" w:hAnsi="Arial" w:eastAsia="黑体"/>
      <w:b/>
      <w:bCs/>
      <w:sz w:val="24"/>
      <w:szCs w:val="24"/>
    </w:rPr>
  </w:style>
  <w:style w:type="paragraph" w:styleId="8">
    <w:name w:val="heading 7"/>
    <w:basedOn w:val="1"/>
    <w:next w:val="1"/>
    <w:link w:val="41"/>
    <w:qFormat/>
    <w:uiPriority w:val="0"/>
    <w:pPr>
      <w:keepNext/>
      <w:keepLines/>
      <w:adjustRightInd/>
      <w:spacing w:before="240" w:after="64" w:line="320" w:lineRule="auto"/>
      <w:outlineLvl w:val="6"/>
    </w:pPr>
    <w:rPr>
      <w:b/>
      <w:bCs/>
      <w:sz w:val="24"/>
      <w:szCs w:val="24"/>
    </w:rPr>
  </w:style>
  <w:style w:type="paragraph" w:styleId="9">
    <w:name w:val="heading 8"/>
    <w:basedOn w:val="1"/>
    <w:next w:val="1"/>
    <w:link w:val="42"/>
    <w:qFormat/>
    <w:uiPriority w:val="0"/>
    <w:pPr>
      <w:keepNext/>
      <w:keepLines/>
      <w:adjustRightInd/>
      <w:spacing w:before="240" w:after="64" w:line="320" w:lineRule="auto"/>
      <w:outlineLvl w:val="7"/>
    </w:pPr>
    <w:rPr>
      <w:rFonts w:ascii="Arial" w:hAnsi="Arial" w:eastAsia="黑体"/>
      <w:sz w:val="24"/>
      <w:szCs w:val="24"/>
    </w:rPr>
  </w:style>
  <w:style w:type="paragraph" w:styleId="10">
    <w:name w:val="heading 9"/>
    <w:basedOn w:val="1"/>
    <w:next w:val="1"/>
    <w:link w:val="43"/>
    <w:qFormat/>
    <w:uiPriority w:val="0"/>
    <w:pPr>
      <w:keepNext/>
      <w:keepLines/>
      <w:adjustRightInd/>
      <w:spacing w:before="240" w:after="64" w:line="320" w:lineRule="auto"/>
      <w:outlineLvl w:val="8"/>
    </w:pPr>
    <w:rPr>
      <w:rFonts w:ascii="Arial" w:hAnsi="Arial" w:eastAsia="黑体"/>
    </w:rPr>
  </w:style>
  <w:style w:type="character" w:default="1" w:styleId="27">
    <w:name w:val="Default Paragraph Font"/>
    <w:semiHidden/>
    <w:unhideWhenUsed/>
    <w:uiPriority w:val="1"/>
  </w:style>
  <w:style w:type="table" w:default="1" w:styleId="33">
    <w:name w:val="Normal Table"/>
    <w:semiHidden/>
    <w:unhideWhenUsed/>
    <w:uiPriority w:val="99"/>
    <w:tblPr>
      <w:tblLayout w:type="fixed"/>
      <w:tblCellMar>
        <w:top w:w="0" w:type="dxa"/>
        <w:left w:w="108" w:type="dxa"/>
        <w:bottom w:w="0" w:type="dxa"/>
        <w:right w:w="108" w:type="dxa"/>
      </w:tblCellMar>
    </w:tblPr>
  </w:style>
  <w:style w:type="paragraph" w:styleId="11">
    <w:name w:val="toc 7"/>
    <w:basedOn w:val="1"/>
    <w:next w:val="1"/>
    <w:unhideWhenUsed/>
    <w:qFormat/>
    <w:uiPriority w:val="39"/>
    <w:pPr>
      <w:tabs>
        <w:tab w:val="right" w:leader="dot" w:pos="9344"/>
      </w:tabs>
      <w:spacing w:line="300" w:lineRule="exact"/>
      <w:ind w:left="1259"/>
    </w:pPr>
    <w:rPr>
      <w:rFonts w:ascii="宋体"/>
    </w:rPr>
  </w:style>
  <w:style w:type="paragraph" w:styleId="12">
    <w:name w:val="Normal Indent"/>
    <w:basedOn w:val="1"/>
    <w:qFormat/>
    <w:uiPriority w:val="0"/>
    <w:pPr>
      <w:ind w:firstLine="420"/>
    </w:pPr>
  </w:style>
  <w:style w:type="paragraph" w:styleId="13">
    <w:name w:val="Body Text"/>
    <w:basedOn w:val="1"/>
    <w:link w:val="87"/>
    <w:qFormat/>
    <w:uiPriority w:val="0"/>
    <w:pPr>
      <w:spacing w:after="120"/>
    </w:pPr>
  </w:style>
  <w:style w:type="paragraph" w:styleId="14">
    <w:name w:val="toc 5"/>
    <w:basedOn w:val="1"/>
    <w:next w:val="1"/>
    <w:unhideWhenUsed/>
    <w:qFormat/>
    <w:uiPriority w:val="39"/>
    <w:pPr>
      <w:ind w:left="839"/>
    </w:pPr>
    <w:rPr>
      <w:rFonts w:ascii="宋体"/>
    </w:rPr>
  </w:style>
  <w:style w:type="paragraph" w:styleId="15">
    <w:name w:val="toc 3"/>
    <w:basedOn w:val="1"/>
    <w:next w:val="1"/>
    <w:unhideWhenUsed/>
    <w:qFormat/>
    <w:uiPriority w:val="39"/>
    <w:pPr>
      <w:spacing w:line="300" w:lineRule="exact"/>
      <w:ind w:left="420"/>
    </w:pPr>
    <w:rPr>
      <w:rFonts w:ascii="宋体"/>
    </w:rPr>
  </w:style>
  <w:style w:type="paragraph" w:styleId="16">
    <w:name w:val="Date"/>
    <w:basedOn w:val="1"/>
    <w:next w:val="1"/>
    <w:link w:val="234"/>
    <w:semiHidden/>
    <w:unhideWhenUsed/>
    <w:qFormat/>
    <w:uiPriority w:val="99"/>
    <w:pPr>
      <w:ind w:left="100" w:leftChars="2500"/>
    </w:pPr>
  </w:style>
  <w:style w:type="paragraph" w:styleId="17">
    <w:name w:val="Balloon Text"/>
    <w:basedOn w:val="1"/>
    <w:link w:val="46"/>
    <w:semiHidden/>
    <w:unhideWhenUsed/>
    <w:qFormat/>
    <w:uiPriority w:val="99"/>
    <w:rPr>
      <w:sz w:val="18"/>
      <w:szCs w:val="18"/>
    </w:rPr>
  </w:style>
  <w:style w:type="paragraph" w:styleId="18">
    <w:name w:val="footer"/>
    <w:basedOn w:val="1"/>
    <w:link w:val="45"/>
    <w:qFormat/>
    <w:uiPriority w:val="99"/>
    <w:pPr>
      <w:tabs>
        <w:tab w:val="center" w:pos="4153"/>
        <w:tab w:val="right" w:pos="8306"/>
      </w:tabs>
      <w:adjustRightInd/>
      <w:snapToGrid w:val="0"/>
      <w:spacing w:line="240" w:lineRule="auto"/>
      <w:jc w:val="right"/>
    </w:pPr>
    <w:rPr>
      <w:rFonts w:ascii="宋体"/>
      <w:sz w:val="18"/>
      <w:szCs w:val="18"/>
    </w:rPr>
  </w:style>
  <w:style w:type="paragraph" w:styleId="19">
    <w:name w:val="header"/>
    <w:basedOn w:val="1"/>
    <w:link w:val="44"/>
    <w:qFormat/>
    <w:uiPriority w:val="99"/>
    <w:pPr>
      <w:tabs>
        <w:tab w:val="center" w:pos="4153"/>
        <w:tab w:val="right" w:pos="8306"/>
      </w:tabs>
      <w:adjustRightInd/>
      <w:snapToGrid w:val="0"/>
      <w:jc w:val="center"/>
    </w:pPr>
    <w:rPr>
      <w:sz w:val="18"/>
      <w:szCs w:val="18"/>
    </w:rPr>
  </w:style>
  <w:style w:type="paragraph" w:styleId="20">
    <w:name w:val="toc 1"/>
    <w:basedOn w:val="1"/>
    <w:next w:val="1"/>
    <w:unhideWhenUsed/>
    <w:qFormat/>
    <w:uiPriority w:val="39"/>
    <w:rPr>
      <w:rFonts w:ascii="宋体"/>
    </w:rPr>
  </w:style>
  <w:style w:type="paragraph" w:styleId="21">
    <w:name w:val="toc 4"/>
    <w:basedOn w:val="1"/>
    <w:next w:val="1"/>
    <w:unhideWhenUsed/>
    <w:qFormat/>
    <w:uiPriority w:val="39"/>
    <w:pPr>
      <w:tabs>
        <w:tab w:val="right" w:leader="dot" w:pos="9344"/>
      </w:tabs>
      <w:spacing w:line="300" w:lineRule="exact"/>
      <w:ind w:left="629"/>
    </w:pPr>
    <w:rPr>
      <w:rFonts w:ascii="宋体"/>
    </w:rPr>
  </w:style>
  <w:style w:type="paragraph" w:styleId="22">
    <w:name w:val="footnote text"/>
    <w:basedOn w:val="1"/>
    <w:next w:val="1"/>
    <w:link w:val="100"/>
    <w:semiHidden/>
    <w:qFormat/>
    <w:uiPriority w:val="0"/>
    <w:pPr>
      <w:adjustRightInd/>
      <w:snapToGrid w:val="0"/>
      <w:spacing w:line="300" w:lineRule="exact"/>
      <w:ind w:left="400" w:leftChars="200" w:hanging="200" w:hangingChars="200"/>
      <w:jc w:val="left"/>
    </w:pPr>
    <w:rPr>
      <w:rFonts w:ascii="宋体"/>
      <w:sz w:val="18"/>
      <w:szCs w:val="18"/>
    </w:rPr>
  </w:style>
  <w:style w:type="paragraph" w:styleId="23">
    <w:name w:val="toc 6"/>
    <w:basedOn w:val="1"/>
    <w:next w:val="1"/>
    <w:unhideWhenUsed/>
    <w:qFormat/>
    <w:uiPriority w:val="39"/>
    <w:pPr>
      <w:spacing w:line="300" w:lineRule="exact"/>
      <w:ind w:left="1049"/>
    </w:pPr>
    <w:rPr>
      <w:rFonts w:ascii="宋体"/>
    </w:rPr>
  </w:style>
  <w:style w:type="paragraph" w:styleId="24">
    <w:name w:val="table of figures"/>
    <w:basedOn w:val="1"/>
    <w:next w:val="1"/>
    <w:semiHidden/>
    <w:qFormat/>
    <w:uiPriority w:val="0"/>
    <w:pPr>
      <w:adjustRightInd/>
      <w:spacing w:line="240" w:lineRule="auto"/>
      <w:jc w:val="left"/>
    </w:pPr>
    <w:rPr>
      <w:szCs w:val="24"/>
    </w:rPr>
  </w:style>
  <w:style w:type="paragraph" w:styleId="25">
    <w:name w:val="toc 2"/>
    <w:basedOn w:val="1"/>
    <w:next w:val="1"/>
    <w:unhideWhenUsed/>
    <w:qFormat/>
    <w:uiPriority w:val="39"/>
    <w:pPr>
      <w:tabs>
        <w:tab w:val="right" w:leader="dot" w:pos="9344"/>
      </w:tabs>
      <w:spacing w:line="300" w:lineRule="exact"/>
      <w:ind w:left="210"/>
    </w:pPr>
    <w:rPr>
      <w:rFonts w:ascii="宋体"/>
    </w:rPr>
  </w:style>
  <w:style w:type="paragraph" w:styleId="26">
    <w:name w:val="Title"/>
    <w:basedOn w:val="1"/>
    <w:link w:val="49"/>
    <w:qFormat/>
    <w:uiPriority w:val="0"/>
    <w:pPr>
      <w:spacing w:before="240" w:after="60"/>
      <w:jc w:val="center"/>
      <w:outlineLvl w:val="0"/>
    </w:pPr>
    <w:rPr>
      <w:rFonts w:ascii="Arial" w:hAnsi="Arial" w:cs="Arial"/>
      <w:b/>
      <w:bCs/>
      <w:sz w:val="32"/>
      <w:szCs w:val="32"/>
    </w:rPr>
  </w:style>
  <w:style w:type="character" w:styleId="28">
    <w:name w:val="Strong"/>
    <w:qFormat/>
    <w:uiPriority w:val="22"/>
    <w:rPr>
      <w:b/>
      <w:bCs/>
    </w:rPr>
  </w:style>
  <w:style w:type="character" w:styleId="29">
    <w:name w:val="page number"/>
    <w:qFormat/>
    <w:uiPriority w:val="0"/>
    <w:rPr>
      <w:rFonts w:ascii="宋体" w:hAnsi="Times New Roman" w:eastAsia="宋体"/>
      <w:sz w:val="18"/>
    </w:rPr>
  </w:style>
  <w:style w:type="character" w:styleId="30">
    <w:name w:val="Emphasis"/>
    <w:qFormat/>
    <w:uiPriority w:val="20"/>
    <w:rPr>
      <w:i/>
      <w:iCs/>
    </w:rPr>
  </w:style>
  <w:style w:type="character" w:styleId="31">
    <w:name w:val="Hyperlink"/>
    <w:qFormat/>
    <w:uiPriority w:val="99"/>
    <w:rPr>
      <w:rFonts w:ascii="宋体" w:hAnsi="Times New Roman" w:eastAsia="宋体"/>
      <w:color w:val="auto"/>
      <w:spacing w:val="0"/>
      <w:w w:val="100"/>
      <w:position w:val="0"/>
      <w:sz w:val="21"/>
      <w:u w:val="none"/>
      <w:vertAlign w:val="baseline"/>
    </w:rPr>
  </w:style>
  <w:style w:type="character" w:styleId="32">
    <w:name w:val="footnote reference"/>
    <w:semiHidden/>
    <w:qFormat/>
    <w:uiPriority w:val="0"/>
    <w:rPr>
      <w:rFonts w:ascii="宋体" w:hAnsi="宋体" w:eastAsia="宋体" w:cs="Times New Roman"/>
      <w:spacing w:val="0"/>
      <w:sz w:val="18"/>
      <w:vertAlign w:val="superscript"/>
    </w:rPr>
  </w:style>
  <w:style w:type="table" w:styleId="34">
    <w:name w:val="Table Grid"/>
    <w:basedOn w:val="3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35">
    <w:name w:val="标题 1 Char"/>
    <w:link w:val="2"/>
    <w:uiPriority w:val="0"/>
    <w:rPr>
      <w:b/>
      <w:bCs/>
      <w:kern w:val="44"/>
      <w:sz w:val="44"/>
      <w:szCs w:val="44"/>
    </w:rPr>
  </w:style>
  <w:style w:type="character" w:customStyle="1" w:styleId="36">
    <w:name w:val="标题 2 Char"/>
    <w:link w:val="3"/>
    <w:uiPriority w:val="0"/>
    <w:rPr>
      <w:rFonts w:ascii="Arial" w:hAnsi="Arial" w:eastAsia="黑体"/>
      <w:b/>
      <w:bCs/>
      <w:kern w:val="2"/>
      <w:sz w:val="32"/>
      <w:szCs w:val="32"/>
    </w:rPr>
  </w:style>
  <w:style w:type="character" w:customStyle="1" w:styleId="37">
    <w:name w:val="标题 3 Char"/>
    <w:link w:val="4"/>
    <w:uiPriority w:val="0"/>
    <w:rPr>
      <w:b/>
      <w:bCs/>
      <w:kern w:val="2"/>
      <w:sz w:val="32"/>
      <w:szCs w:val="32"/>
    </w:rPr>
  </w:style>
  <w:style w:type="character" w:customStyle="1" w:styleId="38">
    <w:name w:val="标题 4 Char"/>
    <w:link w:val="5"/>
    <w:uiPriority w:val="0"/>
    <w:rPr>
      <w:rFonts w:ascii="Arial" w:hAnsi="Arial" w:eastAsia="黑体"/>
      <w:b/>
      <w:bCs/>
      <w:kern w:val="2"/>
      <w:sz w:val="28"/>
      <w:szCs w:val="28"/>
    </w:rPr>
  </w:style>
  <w:style w:type="character" w:customStyle="1" w:styleId="39">
    <w:name w:val="标题 5 Char"/>
    <w:link w:val="6"/>
    <w:uiPriority w:val="0"/>
    <w:rPr>
      <w:b/>
      <w:bCs/>
      <w:kern w:val="2"/>
      <w:sz w:val="28"/>
      <w:szCs w:val="28"/>
    </w:rPr>
  </w:style>
  <w:style w:type="character" w:customStyle="1" w:styleId="40">
    <w:name w:val="标题 6 Char"/>
    <w:link w:val="7"/>
    <w:uiPriority w:val="0"/>
    <w:rPr>
      <w:rFonts w:ascii="Arial" w:hAnsi="Arial" w:eastAsia="黑体"/>
      <w:b/>
      <w:bCs/>
      <w:kern w:val="2"/>
      <w:sz w:val="24"/>
      <w:szCs w:val="24"/>
    </w:rPr>
  </w:style>
  <w:style w:type="character" w:customStyle="1" w:styleId="41">
    <w:name w:val="标题 7 Char"/>
    <w:link w:val="8"/>
    <w:uiPriority w:val="0"/>
    <w:rPr>
      <w:b/>
      <w:bCs/>
      <w:kern w:val="2"/>
      <w:sz w:val="24"/>
      <w:szCs w:val="24"/>
    </w:rPr>
  </w:style>
  <w:style w:type="character" w:customStyle="1" w:styleId="42">
    <w:name w:val="标题 8 Char"/>
    <w:link w:val="9"/>
    <w:uiPriority w:val="0"/>
    <w:rPr>
      <w:rFonts w:ascii="Arial" w:hAnsi="Arial" w:eastAsia="黑体"/>
      <w:kern w:val="2"/>
      <w:sz w:val="24"/>
      <w:szCs w:val="24"/>
    </w:rPr>
  </w:style>
  <w:style w:type="character" w:customStyle="1" w:styleId="43">
    <w:name w:val="标题 9 Char"/>
    <w:link w:val="10"/>
    <w:qFormat/>
    <w:uiPriority w:val="0"/>
    <w:rPr>
      <w:rFonts w:ascii="Arial" w:hAnsi="Arial" w:eastAsia="黑体"/>
      <w:kern w:val="2"/>
      <w:sz w:val="21"/>
      <w:szCs w:val="21"/>
    </w:rPr>
  </w:style>
  <w:style w:type="character" w:customStyle="1" w:styleId="44">
    <w:name w:val="页眉 Char"/>
    <w:link w:val="19"/>
    <w:qFormat/>
    <w:uiPriority w:val="99"/>
    <w:rPr>
      <w:kern w:val="2"/>
      <w:sz w:val="18"/>
      <w:szCs w:val="18"/>
    </w:rPr>
  </w:style>
  <w:style w:type="character" w:customStyle="1" w:styleId="45">
    <w:name w:val="页脚 Char"/>
    <w:link w:val="18"/>
    <w:qFormat/>
    <w:uiPriority w:val="99"/>
    <w:rPr>
      <w:rFonts w:ascii="宋体"/>
      <w:kern w:val="2"/>
      <w:sz w:val="18"/>
      <w:szCs w:val="18"/>
    </w:rPr>
  </w:style>
  <w:style w:type="character" w:customStyle="1" w:styleId="46">
    <w:name w:val="批注框文本 Char"/>
    <w:link w:val="17"/>
    <w:semiHidden/>
    <w:qFormat/>
    <w:uiPriority w:val="99"/>
    <w:rPr>
      <w:kern w:val="2"/>
      <w:sz w:val="18"/>
      <w:szCs w:val="18"/>
    </w:rPr>
  </w:style>
  <w:style w:type="paragraph" w:styleId="47">
    <w:name w:val="Quote"/>
    <w:basedOn w:val="1"/>
    <w:next w:val="1"/>
    <w:link w:val="48"/>
    <w:qFormat/>
    <w:uiPriority w:val="29"/>
    <w:rPr>
      <w:i/>
      <w:iCs/>
      <w:color w:val="000000"/>
    </w:rPr>
  </w:style>
  <w:style w:type="character" w:customStyle="1" w:styleId="48">
    <w:name w:val="引用 Char"/>
    <w:link w:val="47"/>
    <w:qFormat/>
    <w:uiPriority w:val="29"/>
    <w:rPr>
      <w:i/>
      <w:iCs/>
      <w:color w:val="000000"/>
      <w:kern w:val="2"/>
      <w:sz w:val="21"/>
      <w:szCs w:val="21"/>
    </w:rPr>
  </w:style>
  <w:style w:type="character" w:customStyle="1" w:styleId="49">
    <w:name w:val="标题 Char"/>
    <w:link w:val="26"/>
    <w:qFormat/>
    <w:uiPriority w:val="0"/>
    <w:rPr>
      <w:rFonts w:ascii="Arial" w:hAnsi="Arial" w:cs="Arial"/>
      <w:b/>
      <w:bCs/>
      <w:kern w:val="2"/>
      <w:sz w:val="32"/>
      <w:szCs w:val="32"/>
    </w:rPr>
  </w:style>
  <w:style w:type="paragraph" w:customStyle="1" w:styleId="50">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51">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52">
    <w:name w:val="标准文件_页脚偶数页"/>
    <w:qFormat/>
    <w:uiPriority w:val="0"/>
    <w:pPr>
      <w:ind w:left="198"/>
    </w:pPr>
    <w:rPr>
      <w:rFonts w:ascii="宋体" w:hAnsi="Times New Roman" w:eastAsia="宋体" w:cs="Times New Roman"/>
      <w:sz w:val="18"/>
      <w:lang w:val="en-US" w:eastAsia="zh-CN" w:bidi="ar-SA"/>
    </w:rPr>
  </w:style>
  <w:style w:type="paragraph" w:customStyle="1" w:styleId="53">
    <w:name w:val="标准文件_页脚奇数页"/>
    <w:qFormat/>
    <w:uiPriority w:val="0"/>
    <w:pPr>
      <w:ind w:right="227"/>
      <w:jc w:val="right"/>
    </w:pPr>
    <w:rPr>
      <w:rFonts w:ascii="宋体" w:hAnsi="Times New Roman" w:eastAsia="宋体" w:cs="Times New Roman"/>
      <w:sz w:val="18"/>
      <w:lang w:val="en-US" w:eastAsia="zh-CN" w:bidi="ar-SA"/>
    </w:rPr>
  </w:style>
  <w:style w:type="paragraph" w:customStyle="1" w:styleId="54">
    <w:name w:val="标准书眉一"/>
    <w:qFormat/>
    <w:uiPriority w:val="0"/>
    <w:pPr>
      <w:jc w:val="both"/>
    </w:pPr>
    <w:rPr>
      <w:rFonts w:ascii="Times New Roman" w:hAnsi="Times New Roman" w:eastAsia="宋体" w:cs="Times New Roman"/>
      <w:lang w:val="en-US" w:eastAsia="zh-CN" w:bidi="ar-SA"/>
    </w:rPr>
  </w:style>
  <w:style w:type="paragraph" w:customStyle="1" w:styleId="55">
    <w:name w:val="标准文件_ICS"/>
    <w:basedOn w:val="1"/>
    <w:qFormat/>
    <w:uiPriority w:val="0"/>
    <w:pPr>
      <w:spacing w:line="0" w:lineRule="atLeast"/>
    </w:pPr>
    <w:rPr>
      <w:rFonts w:ascii="黑体" w:hAnsi="宋体" w:eastAsia="黑体"/>
    </w:rPr>
  </w:style>
  <w:style w:type="paragraph" w:customStyle="1" w:styleId="56">
    <w:name w:val="标准文件_标准正文"/>
    <w:basedOn w:val="1"/>
    <w:next w:val="57"/>
    <w:qFormat/>
    <w:uiPriority w:val="0"/>
    <w:pPr>
      <w:snapToGrid w:val="0"/>
      <w:ind w:firstLine="200" w:firstLineChars="200"/>
    </w:pPr>
    <w:rPr>
      <w:kern w:val="0"/>
    </w:rPr>
  </w:style>
  <w:style w:type="paragraph" w:customStyle="1" w:styleId="57">
    <w:name w:val="标准文件_段"/>
    <w:link w:val="185"/>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8">
    <w:name w:val="标准文件_版本"/>
    <w:basedOn w:val="56"/>
    <w:qFormat/>
    <w:uiPriority w:val="0"/>
    <w:pPr>
      <w:adjustRightInd/>
      <w:snapToGrid/>
      <w:ind w:firstLine="0" w:firstLineChars="0"/>
    </w:pPr>
    <w:rPr>
      <w:rFonts w:ascii="宋体" w:hAnsi="宋体"/>
      <w:kern w:val="2"/>
    </w:rPr>
  </w:style>
  <w:style w:type="paragraph" w:customStyle="1" w:styleId="59">
    <w:name w:val="标准文件_标准部门"/>
    <w:basedOn w:val="1"/>
    <w:qFormat/>
    <w:uiPriority w:val="0"/>
    <w:pPr>
      <w:jc w:val="center"/>
    </w:pPr>
    <w:rPr>
      <w:rFonts w:ascii="黑体" w:eastAsia="黑体"/>
      <w:kern w:val="0"/>
      <w:sz w:val="44"/>
    </w:rPr>
  </w:style>
  <w:style w:type="paragraph" w:customStyle="1" w:styleId="60">
    <w:name w:val="标准文件_标准代替"/>
    <w:basedOn w:val="1"/>
    <w:next w:val="1"/>
    <w:qFormat/>
    <w:uiPriority w:val="0"/>
    <w:pPr>
      <w:spacing w:line="310" w:lineRule="exact"/>
      <w:jc w:val="right"/>
    </w:pPr>
    <w:rPr>
      <w:rFonts w:ascii="宋体" w:hAnsi="宋体"/>
      <w:kern w:val="0"/>
    </w:rPr>
  </w:style>
  <w:style w:type="paragraph" w:customStyle="1" w:styleId="61">
    <w:name w:val="标准文件_标准名称标题"/>
    <w:basedOn w:val="1"/>
    <w:next w:val="1"/>
    <w:qFormat/>
    <w:uiPriority w:val="0"/>
    <w:pPr>
      <w:widowControl/>
      <w:shd w:val="clear" w:color="FFFFFF" w:fill="FFFFFF"/>
      <w:adjustRightInd/>
      <w:spacing w:before="640" w:after="100"/>
      <w:jc w:val="center"/>
    </w:pPr>
    <w:rPr>
      <w:rFonts w:ascii="黑体" w:eastAsia="黑体"/>
      <w:kern w:val="0"/>
      <w:sz w:val="32"/>
    </w:rPr>
  </w:style>
  <w:style w:type="paragraph" w:customStyle="1" w:styleId="62">
    <w:name w:val="标准文件_页眉奇数页"/>
    <w:next w:val="1"/>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63">
    <w:name w:val="标准文件_页眉偶数页"/>
    <w:basedOn w:val="62"/>
    <w:next w:val="1"/>
    <w:qFormat/>
    <w:uiPriority w:val="0"/>
    <w:pPr>
      <w:jc w:val="left"/>
    </w:pPr>
  </w:style>
  <w:style w:type="paragraph" w:customStyle="1" w:styleId="64">
    <w:name w:val="标准文件_参考文献标题"/>
    <w:basedOn w:val="1"/>
    <w:next w:val="1"/>
    <w:qFormat/>
    <w:uiPriority w:val="0"/>
    <w:pPr>
      <w:widowControl/>
      <w:shd w:val="clear" w:color="FFFFFF" w:fill="FFFFFF"/>
      <w:adjustRightInd/>
      <w:spacing w:before="580" w:afterLines="50" w:line="240" w:lineRule="auto"/>
      <w:jc w:val="center"/>
      <w:outlineLvl w:val="0"/>
    </w:pPr>
    <w:rPr>
      <w:rFonts w:ascii="黑体" w:eastAsia="黑体"/>
      <w:kern w:val="0"/>
    </w:rPr>
  </w:style>
  <w:style w:type="paragraph" w:customStyle="1" w:styleId="65">
    <w:name w:val="标准文件_参考文献条目"/>
    <w:qFormat/>
    <w:uiPriority w:val="0"/>
    <w:pPr>
      <w:numPr>
        <w:ilvl w:val="0"/>
        <w:numId w:val="1"/>
      </w:numPr>
    </w:pPr>
    <w:rPr>
      <w:rFonts w:ascii="宋体" w:hAnsi="Times New Roman" w:eastAsia="宋体" w:cs="Times New Roman"/>
      <w:lang w:val="en-US" w:eastAsia="zh-CN" w:bidi="ar-SA"/>
    </w:rPr>
  </w:style>
  <w:style w:type="paragraph" w:customStyle="1" w:styleId="66">
    <w:name w:val="标准文件_二级条标题"/>
    <w:next w:val="57"/>
    <w:qFormat/>
    <w:uiPriority w:val="0"/>
    <w:pPr>
      <w:widowControl w:val="0"/>
      <w:numPr>
        <w:ilvl w:val="3"/>
        <w:numId w:val="2"/>
      </w:numPr>
      <w:spacing w:beforeLines="50" w:afterLines="50"/>
      <w:ind w:left="0"/>
      <w:jc w:val="both"/>
      <w:outlineLvl w:val="2"/>
    </w:pPr>
    <w:rPr>
      <w:rFonts w:ascii="黑体" w:hAnsi="Times New Roman" w:eastAsia="黑体" w:cs="Times New Roman"/>
      <w:sz w:val="21"/>
      <w:lang w:val="en-US" w:eastAsia="zh-CN" w:bidi="ar-SA"/>
    </w:rPr>
  </w:style>
  <w:style w:type="character" w:customStyle="1" w:styleId="67">
    <w:name w:val="标准文件_发布"/>
    <w:qFormat/>
    <w:uiPriority w:val="0"/>
    <w:rPr>
      <w:rFonts w:ascii="黑体" w:eastAsia="黑体"/>
      <w:spacing w:val="0"/>
      <w:w w:val="100"/>
      <w:position w:val="3"/>
      <w:sz w:val="28"/>
    </w:rPr>
  </w:style>
  <w:style w:type="paragraph" w:customStyle="1" w:styleId="68">
    <w:name w:val="标准文件_方框数字列项"/>
    <w:basedOn w:val="57"/>
    <w:qFormat/>
    <w:uiPriority w:val="0"/>
    <w:pPr>
      <w:numPr>
        <w:ilvl w:val="0"/>
        <w:numId w:val="3"/>
      </w:numPr>
      <w:ind w:firstLine="0" w:firstLineChars="0"/>
    </w:pPr>
  </w:style>
  <w:style w:type="paragraph" w:customStyle="1" w:styleId="69">
    <w:name w:val="标准文件_封面标准编号"/>
    <w:basedOn w:val="1"/>
    <w:next w:val="60"/>
    <w:qFormat/>
    <w:uiPriority w:val="0"/>
    <w:pPr>
      <w:spacing w:line="310" w:lineRule="exact"/>
      <w:jc w:val="right"/>
    </w:pPr>
    <w:rPr>
      <w:rFonts w:ascii="黑体" w:eastAsia="黑体"/>
      <w:kern w:val="0"/>
      <w:sz w:val="28"/>
    </w:rPr>
  </w:style>
  <w:style w:type="paragraph" w:customStyle="1" w:styleId="70">
    <w:name w:val="标准文件_封面标准分类号"/>
    <w:basedOn w:val="1"/>
    <w:qFormat/>
    <w:uiPriority w:val="0"/>
    <w:rPr>
      <w:rFonts w:ascii="黑体" w:eastAsia="黑体"/>
      <w:b/>
      <w:kern w:val="0"/>
      <w:sz w:val="28"/>
    </w:rPr>
  </w:style>
  <w:style w:type="paragraph" w:customStyle="1" w:styleId="71">
    <w:name w:val="标准文件_封面标准名称"/>
    <w:basedOn w:val="1"/>
    <w:qFormat/>
    <w:uiPriority w:val="0"/>
    <w:pPr>
      <w:spacing w:line="240" w:lineRule="auto"/>
      <w:jc w:val="center"/>
    </w:pPr>
    <w:rPr>
      <w:rFonts w:ascii="黑体" w:eastAsia="黑体"/>
      <w:kern w:val="0"/>
      <w:sz w:val="52"/>
    </w:rPr>
  </w:style>
  <w:style w:type="paragraph" w:customStyle="1" w:styleId="72">
    <w:name w:val="标准文件_封面标准英文名称"/>
    <w:basedOn w:val="1"/>
    <w:qFormat/>
    <w:uiPriority w:val="0"/>
    <w:pPr>
      <w:spacing w:line="240" w:lineRule="auto"/>
      <w:jc w:val="center"/>
    </w:pPr>
    <w:rPr>
      <w:rFonts w:ascii="黑体" w:eastAsia="黑体"/>
      <w:b/>
      <w:sz w:val="28"/>
    </w:rPr>
  </w:style>
  <w:style w:type="paragraph" w:customStyle="1" w:styleId="73">
    <w:name w:val="标准文件_封面发布日期"/>
    <w:basedOn w:val="1"/>
    <w:qFormat/>
    <w:uiPriority w:val="0"/>
    <w:pPr>
      <w:spacing w:line="310" w:lineRule="exact"/>
    </w:pPr>
    <w:rPr>
      <w:rFonts w:ascii="黑体" w:eastAsia="黑体"/>
      <w:kern w:val="0"/>
      <w:sz w:val="28"/>
    </w:rPr>
  </w:style>
  <w:style w:type="paragraph" w:customStyle="1" w:styleId="74">
    <w:name w:val="标准文件_封面密级"/>
    <w:basedOn w:val="1"/>
    <w:qFormat/>
    <w:uiPriority w:val="0"/>
    <w:rPr>
      <w:rFonts w:eastAsia="黑体"/>
      <w:sz w:val="32"/>
    </w:rPr>
  </w:style>
  <w:style w:type="paragraph" w:customStyle="1" w:styleId="75">
    <w:name w:val="标准文件_封面实施日期"/>
    <w:basedOn w:val="1"/>
    <w:qFormat/>
    <w:uiPriority w:val="0"/>
    <w:pPr>
      <w:spacing w:line="310" w:lineRule="exact"/>
      <w:jc w:val="right"/>
    </w:pPr>
    <w:rPr>
      <w:rFonts w:ascii="黑体" w:eastAsia="黑体"/>
      <w:sz w:val="28"/>
    </w:rPr>
  </w:style>
  <w:style w:type="paragraph" w:customStyle="1" w:styleId="76">
    <w:name w:val="标准文件_封面抬头"/>
    <w:basedOn w:val="57"/>
    <w:qFormat/>
    <w:uiPriority w:val="0"/>
    <w:pPr>
      <w:adjustRightInd w:val="0"/>
      <w:spacing w:line="800" w:lineRule="exact"/>
      <w:ind w:firstLine="0" w:firstLineChars="0"/>
      <w:jc w:val="distribute"/>
    </w:pPr>
    <w:rPr>
      <w:rFonts w:ascii="黑体" w:eastAsia="黑体"/>
      <w:b/>
      <w:sz w:val="64"/>
    </w:rPr>
  </w:style>
  <w:style w:type="paragraph" w:customStyle="1" w:styleId="77">
    <w:name w:val="标准文件_附录标识"/>
    <w:next w:val="57"/>
    <w:qFormat/>
    <w:uiPriority w:val="0"/>
    <w:pPr>
      <w:numPr>
        <w:ilvl w:val="0"/>
        <w:numId w:val="4"/>
      </w:numPr>
      <w:shd w:val="clear" w:color="FFFFFF" w:fill="FFFFFF"/>
      <w:tabs>
        <w:tab w:val="left" w:pos="6406"/>
      </w:tabs>
      <w:spacing w:before="560" w:afterLines="50"/>
      <w:jc w:val="center"/>
      <w:outlineLvl w:val="0"/>
    </w:pPr>
    <w:rPr>
      <w:rFonts w:ascii="黑体" w:hAnsi="Times New Roman" w:eastAsia="黑体" w:cs="Times New Roman"/>
      <w:sz w:val="21"/>
      <w:lang w:val="en-US" w:eastAsia="zh-CN" w:bidi="ar-SA"/>
    </w:rPr>
  </w:style>
  <w:style w:type="paragraph" w:customStyle="1" w:styleId="78">
    <w:name w:val="标准文件_附录表标题"/>
    <w:next w:val="57"/>
    <w:qFormat/>
    <w:uiPriority w:val="0"/>
    <w:pPr>
      <w:numPr>
        <w:ilvl w:val="1"/>
        <w:numId w:val="5"/>
      </w:numPr>
      <w:adjustRightInd w:val="0"/>
      <w:snapToGrid w:val="0"/>
      <w:spacing w:beforeLines="50" w:afterLines="50"/>
      <w:jc w:val="center"/>
      <w:textAlignment w:val="baseline"/>
    </w:pPr>
    <w:rPr>
      <w:rFonts w:ascii="黑体" w:hAnsi="Times New Roman" w:eastAsia="黑体" w:cs="Times New Roman"/>
      <w:kern w:val="21"/>
      <w:sz w:val="21"/>
      <w:lang w:val="en-US" w:eastAsia="zh-CN" w:bidi="ar-SA"/>
    </w:rPr>
  </w:style>
  <w:style w:type="paragraph" w:customStyle="1" w:styleId="79">
    <w:name w:val="标准文件_附录一级条标题"/>
    <w:next w:val="57"/>
    <w:qFormat/>
    <w:uiPriority w:val="0"/>
    <w:pPr>
      <w:widowControl w:val="0"/>
      <w:numPr>
        <w:ilvl w:val="1"/>
        <w:numId w:val="4"/>
      </w:numPr>
      <w:spacing w:beforeLines="50" w:afterLines="50"/>
      <w:jc w:val="both"/>
      <w:outlineLvl w:val="2"/>
    </w:pPr>
    <w:rPr>
      <w:rFonts w:ascii="黑体" w:hAnsi="Times New Roman" w:eastAsia="黑体" w:cs="Times New Roman"/>
      <w:kern w:val="21"/>
      <w:sz w:val="21"/>
      <w:lang w:val="en-US" w:eastAsia="zh-CN" w:bidi="ar-SA"/>
    </w:rPr>
  </w:style>
  <w:style w:type="paragraph" w:customStyle="1" w:styleId="80">
    <w:name w:val="标准文件_附录二级条标题"/>
    <w:basedOn w:val="79"/>
    <w:next w:val="57"/>
    <w:qFormat/>
    <w:uiPriority w:val="0"/>
    <w:pPr>
      <w:widowControl/>
      <w:numPr>
        <w:ilvl w:val="2"/>
      </w:numPr>
      <w:wordWrap w:val="0"/>
      <w:overflowPunct w:val="0"/>
      <w:autoSpaceDE w:val="0"/>
      <w:autoSpaceDN w:val="0"/>
      <w:textAlignment w:val="baseline"/>
      <w:outlineLvl w:val="3"/>
    </w:pPr>
  </w:style>
  <w:style w:type="paragraph" w:customStyle="1" w:styleId="81">
    <w:name w:val="标准文件_附录公式"/>
    <w:basedOn w:val="56"/>
    <w:next w:val="56"/>
    <w:qFormat/>
    <w:uiPriority w:val="0"/>
    <w:pPr>
      <w:tabs>
        <w:tab w:val="center" w:pos="4678"/>
        <w:tab w:val="right" w:leader="middleDot" w:pos="9356"/>
      </w:tabs>
      <w:spacing w:line="240" w:lineRule="auto"/>
      <w:ind w:right="-51" w:firstLine="0" w:firstLineChars="0"/>
    </w:pPr>
    <w:rPr>
      <w:rFonts w:ascii="宋体" w:hAnsi="宋体"/>
    </w:rPr>
  </w:style>
  <w:style w:type="paragraph" w:customStyle="1" w:styleId="82">
    <w:name w:val="标准文件_附录三级条标题"/>
    <w:next w:val="57"/>
    <w:qFormat/>
    <w:uiPriority w:val="0"/>
    <w:pPr>
      <w:widowControl w:val="0"/>
      <w:numPr>
        <w:ilvl w:val="3"/>
        <w:numId w:val="4"/>
      </w:numPr>
      <w:spacing w:beforeLines="50" w:afterLines="50"/>
      <w:jc w:val="both"/>
      <w:outlineLvl w:val="4"/>
    </w:pPr>
    <w:rPr>
      <w:rFonts w:ascii="黑体" w:hAnsi="Times New Roman" w:eastAsia="黑体" w:cs="Times New Roman"/>
      <w:kern w:val="21"/>
      <w:sz w:val="21"/>
      <w:lang w:val="en-US" w:eastAsia="zh-CN" w:bidi="ar-SA"/>
    </w:rPr>
  </w:style>
  <w:style w:type="paragraph" w:customStyle="1" w:styleId="83">
    <w:name w:val="标准文件_附录四级条标题"/>
    <w:next w:val="57"/>
    <w:qFormat/>
    <w:uiPriority w:val="0"/>
    <w:pPr>
      <w:widowControl w:val="0"/>
      <w:numPr>
        <w:ilvl w:val="4"/>
        <w:numId w:val="4"/>
      </w:numPr>
      <w:spacing w:beforeLines="50" w:afterLines="50"/>
      <w:jc w:val="both"/>
      <w:outlineLvl w:val="5"/>
    </w:pPr>
    <w:rPr>
      <w:rFonts w:ascii="黑体" w:hAnsi="Times New Roman" w:eastAsia="黑体" w:cs="Times New Roman"/>
      <w:kern w:val="21"/>
      <w:sz w:val="21"/>
      <w:lang w:val="en-US" w:eastAsia="zh-CN" w:bidi="ar-SA"/>
    </w:rPr>
  </w:style>
  <w:style w:type="paragraph" w:customStyle="1" w:styleId="84">
    <w:name w:val="标准文件_附录图标题"/>
    <w:next w:val="57"/>
    <w:qFormat/>
    <w:uiPriority w:val="0"/>
    <w:pPr>
      <w:numPr>
        <w:ilvl w:val="1"/>
        <w:numId w:val="6"/>
      </w:numPr>
      <w:adjustRightInd w:val="0"/>
      <w:snapToGrid w:val="0"/>
      <w:spacing w:beforeLines="50" w:afterLines="50"/>
      <w:jc w:val="center"/>
    </w:pPr>
    <w:rPr>
      <w:rFonts w:ascii="黑体" w:hAnsi="Times New Roman" w:eastAsia="黑体" w:cs="Times New Roman"/>
      <w:sz w:val="21"/>
      <w:lang w:val="en-US" w:eastAsia="zh-CN" w:bidi="ar-SA"/>
    </w:rPr>
  </w:style>
  <w:style w:type="paragraph" w:customStyle="1" w:styleId="85">
    <w:name w:val="标准文件_附录五级条标题"/>
    <w:next w:val="57"/>
    <w:qFormat/>
    <w:uiPriority w:val="0"/>
    <w:pPr>
      <w:widowControl w:val="0"/>
      <w:numPr>
        <w:ilvl w:val="5"/>
        <w:numId w:val="4"/>
      </w:numPr>
      <w:spacing w:beforeLines="50" w:afterLines="50"/>
      <w:jc w:val="both"/>
      <w:outlineLvl w:val="6"/>
    </w:pPr>
    <w:rPr>
      <w:rFonts w:ascii="黑体" w:hAnsi="Times New Roman" w:eastAsia="黑体" w:cs="Times New Roman"/>
      <w:kern w:val="21"/>
      <w:sz w:val="21"/>
      <w:lang w:val="en-US" w:eastAsia="zh-CN" w:bidi="ar-SA"/>
    </w:rPr>
  </w:style>
  <w:style w:type="paragraph" w:customStyle="1" w:styleId="86">
    <w:name w:val="标准文件_附录英文标识"/>
    <w:next w:val="13"/>
    <w:qFormat/>
    <w:uiPriority w:val="0"/>
    <w:pPr>
      <w:numPr>
        <w:ilvl w:val="0"/>
        <w:numId w:val="7"/>
      </w:numPr>
      <w:tabs>
        <w:tab w:val="left" w:pos="6406"/>
      </w:tabs>
      <w:spacing w:before="220" w:after="320"/>
      <w:jc w:val="center"/>
      <w:outlineLvl w:val="0"/>
    </w:pPr>
    <w:rPr>
      <w:rFonts w:ascii="黑体" w:hAnsi="Times New Roman" w:eastAsia="黑体" w:cs="Times New Roman"/>
      <w:sz w:val="21"/>
      <w:lang w:val="en-US" w:eastAsia="zh-CN" w:bidi="ar-SA"/>
    </w:rPr>
  </w:style>
  <w:style w:type="character" w:customStyle="1" w:styleId="87">
    <w:name w:val="正文文本 Char"/>
    <w:link w:val="13"/>
    <w:qFormat/>
    <w:uiPriority w:val="0"/>
    <w:rPr>
      <w:kern w:val="2"/>
      <w:sz w:val="21"/>
      <w:szCs w:val="21"/>
    </w:rPr>
  </w:style>
  <w:style w:type="paragraph" w:customStyle="1" w:styleId="88">
    <w:name w:val="标准文件_附录章标题"/>
    <w:next w:val="57"/>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9">
    <w:name w:val="标准文件_公式后的破折号"/>
    <w:basedOn w:val="57"/>
    <w:next w:val="57"/>
    <w:qFormat/>
    <w:uiPriority w:val="0"/>
    <w:pPr>
      <w:ind w:left="488" w:leftChars="200" w:hanging="289" w:hangingChars="290"/>
    </w:pPr>
  </w:style>
  <w:style w:type="paragraph" w:customStyle="1" w:styleId="90">
    <w:name w:val="标准文件_前言、引言标题"/>
    <w:next w:val="1"/>
    <w:qFormat/>
    <w:uiPriority w:val="0"/>
    <w:pPr>
      <w:numPr>
        <w:ilvl w:val="0"/>
        <w:numId w:val="8"/>
      </w:numPr>
      <w:shd w:val="clear" w:color="FFFFFF" w:fill="FFFFFF"/>
      <w:spacing w:before="480" w:afterLines="150"/>
      <w:jc w:val="center"/>
      <w:outlineLvl w:val="0"/>
    </w:pPr>
    <w:rPr>
      <w:rFonts w:ascii="黑体" w:hAnsi="Times New Roman" w:eastAsia="黑体" w:cs="Times New Roman"/>
      <w:sz w:val="32"/>
      <w:lang w:val="en-US" w:eastAsia="zh-CN" w:bidi="ar-SA"/>
    </w:rPr>
  </w:style>
  <w:style w:type="paragraph" w:customStyle="1" w:styleId="91">
    <w:name w:val="标准文件_目次、标准名称标题"/>
    <w:basedOn w:val="90"/>
    <w:next w:val="57"/>
    <w:qFormat/>
    <w:uiPriority w:val="0"/>
    <w:pPr>
      <w:spacing w:line="460" w:lineRule="exact"/>
      <w:ind w:left="0" w:firstLine="0"/>
    </w:pPr>
  </w:style>
  <w:style w:type="paragraph" w:customStyle="1" w:styleId="92">
    <w:name w:val="标准文件_目录标题"/>
    <w:basedOn w:val="1"/>
    <w:qFormat/>
    <w:uiPriority w:val="0"/>
    <w:pPr>
      <w:spacing w:before="480" w:afterLines="150" w:line="240" w:lineRule="auto"/>
      <w:jc w:val="center"/>
    </w:pPr>
    <w:rPr>
      <w:rFonts w:ascii="黑体" w:eastAsia="黑体"/>
      <w:sz w:val="32"/>
    </w:rPr>
  </w:style>
  <w:style w:type="paragraph" w:customStyle="1" w:styleId="93">
    <w:name w:val="标准文件_破折号列项"/>
    <w:qFormat/>
    <w:uiPriority w:val="0"/>
    <w:pPr>
      <w:numPr>
        <w:ilvl w:val="0"/>
        <w:numId w:val="9"/>
      </w:numPr>
      <w:adjustRightInd w:val="0"/>
      <w:snapToGrid w:val="0"/>
      <w:ind w:firstLine="200" w:firstLineChars="200"/>
    </w:pPr>
    <w:rPr>
      <w:rFonts w:ascii="Times New Roman" w:hAnsi="Times New Roman" w:eastAsia="宋体" w:cs="Times New Roman"/>
      <w:sz w:val="21"/>
      <w:lang w:val="en-US" w:eastAsia="zh-CN" w:bidi="ar-SA"/>
    </w:rPr>
  </w:style>
  <w:style w:type="paragraph" w:customStyle="1" w:styleId="94">
    <w:name w:val="标准文件_破折号列项（二级）"/>
    <w:basedOn w:val="93"/>
    <w:qFormat/>
    <w:uiPriority w:val="0"/>
    <w:pPr>
      <w:numPr>
        <w:numId w:val="10"/>
      </w:numPr>
    </w:pPr>
  </w:style>
  <w:style w:type="paragraph" w:customStyle="1" w:styleId="95">
    <w:name w:val="标准文件_三级条标题"/>
    <w:basedOn w:val="66"/>
    <w:next w:val="57"/>
    <w:qFormat/>
    <w:uiPriority w:val="0"/>
    <w:pPr>
      <w:widowControl/>
      <w:numPr>
        <w:ilvl w:val="4"/>
      </w:numPr>
      <w:outlineLvl w:val="3"/>
    </w:pPr>
  </w:style>
  <w:style w:type="character" w:customStyle="1" w:styleId="96">
    <w:name w:val="Subtle Reference"/>
    <w:qFormat/>
    <w:uiPriority w:val="31"/>
    <w:rPr>
      <w:smallCaps/>
      <w:color w:val="C0504D"/>
      <w:u w:val="single"/>
    </w:rPr>
  </w:style>
  <w:style w:type="paragraph" w:customStyle="1" w:styleId="97">
    <w:name w:val="标准文件_示例后续"/>
    <w:basedOn w:val="1"/>
    <w:qFormat/>
    <w:uiPriority w:val="0"/>
    <w:pPr>
      <w:adjustRightInd/>
      <w:spacing w:line="240" w:lineRule="auto"/>
      <w:ind w:firstLine="200" w:firstLineChars="200"/>
    </w:pPr>
    <w:rPr>
      <w:sz w:val="18"/>
      <w:szCs w:val="24"/>
    </w:rPr>
  </w:style>
  <w:style w:type="paragraph" w:customStyle="1" w:styleId="98">
    <w:name w:val="标准文件_数字编号列项"/>
    <w:qFormat/>
    <w:uiPriority w:val="0"/>
    <w:pPr>
      <w:numPr>
        <w:ilvl w:val="0"/>
        <w:numId w:val="11"/>
      </w:numPr>
      <w:jc w:val="both"/>
    </w:pPr>
    <w:rPr>
      <w:rFonts w:ascii="宋体" w:hAnsi="宋体" w:eastAsia="宋体" w:cs="Times New Roman"/>
      <w:sz w:val="21"/>
      <w:lang w:val="en-US" w:eastAsia="zh-CN" w:bidi="ar-SA"/>
    </w:rPr>
  </w:style>
  <w:style w:type="paragraph" w:customStyle="1" w:styleId="99">
    <w:name w:val="标准文件_四级条标题"/>
    <w:next w:val="57"/>
    <w:qFormat/>
    <w:uiPriority w:val="0"/>
    <w:pPr>
      <w:widowControl w:val="0"/>
      <w:numPr>
        <w:ilvl w:val="5"/>
        <w:numId w:val="2"/>
      </w:numPr>
      <w:spacing w:beforeLines="50" w:afterLines="50"/>
      <w:jc w:val="both"/>
      <w:outlineLvl w:val="4"/>
    </w:pPr>
    <w:rPr>
      <w:rFonts w:ascii="黑体" w:hAnsi="Times New Roman" w:eastAsia="黑体" w:cs="Times New Roman"/>
      <w:sz w:val="21"/>
      <w:lang w:val="en-US" w:eastAsia="zh-CN" w:bidi="ar-SA"/>
    </w:rPr>
  </w:style>
  <w:style w:type="character" w:customStyle="1" w:styleId="100">
    <w:name w:val="脚注文本 Char"/>
    <w:link w:val="22"/>
    <w:semiHidden/>
    <w:qFormat/>
    <w:uiPriority w:val="0"/>
    <w:rPr>
      <w:rFonts w:ascii="宋体"/>
      <w:kern w:val="2"/>
      <w:sz w:val="18"/>
      <w:szCs w:val="18"/>
    </w:rPr>
  </w:style>
  <w:style w:type="paragraph" w:customStyle="1" w:styleId="101">
    <w:name w:val="标准文件_条文脚注"/>
    <w:basedOn w:val="22"/>
    <w:qFormat/>
    <w:uiPriority w:val="0"/>
    <w:pPr>
      <w:adjustRightInd w:val="0"/>
      <w:spacing w:line="240" w:lineRule="auto"/>
      <w:ind w:left="0" w:leftChars="0" w:firstLine="200" w:firstLineChars="200"/>
      <w:jc w:val="both"/>
    </w:pPr>
    <w:rPr>
      <w:rFonts w:hAnsi="宋体"/>
    </w:rPr>
  </w:style>
  <w:style w:type="paragraph" w:customStyle="1" w:styleId="102">
    <w:name w:val="标准文件_图表脚注"/>
    <w:basedOn w:val="1"/>
    <w:next w:val="57"/>
    <w:qFormat/>
    <w:uiPriority w:val="0"/>
    <w:pPr>
      <w:numPr>
        <w:ilvl w:val="0"/>
        <w:numId w:val="12"/>
      </w:numPr>
      <w:spacing w:line="240" w:lineRule="auto"/>
      <w:jc w:val="left"/>
    </w:pPr>
    <w:rPr>
      <w:rFonts w:ascii="宋体" w:hAnsi="宋体"/>
      <w:sz w:val="18"/>
    </w:rPr>
  </w:style>
  <w:style w:type="character" w:customStyle="1" w:styleId="103">
    <w:name w:val="标准文件_图表脚注内容"/>
    <w:qFormat/>
    <w:uiPriority w:val="0"/>
    <w:rPr>
      <w:rFonts w:ascii="宋体" w:hAnsi="宋体" w:eastAsia="宋体" w:cs="Times New Roman"/>
      <w:spacing w:val="0"/>
      <w:sz w:val="18"/>
      <w:vertAlign w:val="superscript"/>
    </w:rPr>
  </w:style>
  <w:style w:type="paragraph" w:customStyle="1" w:styleId="104">
    <w:name w:val="标准文件_五级条标题"/>
    <w:next w:val="57"/>
    <w:qFormat/>
    <w:uiPriority w:val="0"/>
    <w:pPr>
      <w:widowControl w:val="0"/>
      <w:numPr>
        <w:ilvl w:val="6"/>
        <w:numId w:val="2"/>
      </w:numPr>
      <w:spacing w:beforeLines="50" w:afterLines="50"/>
      <w:jc w:val="both"/>
      <w:outlineLvl w:val="5"/>
    </w:pPr>
    <w:rPr>
      <w:rFonts w:ascii="黑体" w:hAnsi="Times New Roman" w:eastAsia="黑体" w:cs="Times New Roman"/>
      <w:sz w:val="21"/>
      <w:lang w:val="en-US" w:eastAsia="zh-CN" w:bidi="ar-SA"/>
    </w:rPr>
  </w:style>
  <w:style w:type="paragraph" w:customStyle="1" w:styleId="105">
    <w:name w:val="标准文件_章标题"/>
    <w:next w:val="57"/>
    <w:qFormat/>
    <w:uiPriority w:val="0"/>
    <w:pPr>
      <w:numPr>
        <w:ilvl w:val="1"/>
        <w:numId w:val="2"/>
      </w:numPr>
      <w:spacing w:beforeLines="100" w:afterLines="100"/>
      <w:jc w:val="both"/>
      <w:outlineLvl w:val="0"/>
    </w:pPr>
    <w:rPr>
      <w:rFonts w:ascii="黑体" w:hAnsi="Times New Roman" w:eastAsia="黑体" w:cs="Times New Roman"/>
      <w:sz w:val="21"/>
      <w:lang w:val="en-US" w:eastAsia="zh-CN" w:bidi="ar-SA"/>
    </w:rPr>
  </w:style>
  <w:style w:type="paragraph" w:customStyle="1" w:styleId="106">
    <w:name w:val="标准文件_一级条标题"/>
    <w:basedOn w:val="105"/>
    <w:next w:val="57"/>
    <w:qFormat/>
    <w:uiPriority w:val="0"/>
    <w:pPr>
      <w:numPr>
        <w:ilvl w:val="2"/>
      </w:numPr>
      <w:spacing w:beforeLines="50" w:afterLines="50"/>
      <w:outlineLvl w:val="1"/>
    </w:pPr>
  </w:style>
  <w:style w:type="paragraph" w:customStyle="1" w:styleId="107">
    <w:name w:val="标准文件_一致程度"/>
    <w:basedOn w:val="1"/>
    <w:qFormat/>
    <w:uiPriority w:val="0"/>
    <w:pPr>
      <w:spacing w:line="440" w:lineRule="exact"/>
      <w:jc w:val="center"/>
    </w:pPr>
    <w:rPr>
      <w:sz w:val="28"/>
    </w:rPr>
  </w:style>
  <w:style w:type="paragraph" w:customStyle="1" w:styleId="108">
    <w:name w:val="标准文件_引言标题"/>
    <w:next w:val="1"/>
    <w:qFormat/>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09">
    <w:name w:val="标准文件_英文图表脚注"/>
    <w:basedOn w:val="56"/>
    <w:qFormat/>
    <w:uiPriority w:val="0"/>
    <w:pPr>
      <w:widowControl/>
      <w:adjustRightInd/>
      <w:snapToGrid/>
      <w:spacing w:line="240" w:lineRule="auto"/>
      <w:ind w:left="79" w:hanging="79" w:hangingChars="80"/>
    </w:pPr>
    <w:rPr>
      <w:rFonts w:ascii="宋体" w:hAnsi="宋体"/>
    </w:rPr>
  </w:style>
  <w:style w:type="paragraph" w:customStyle="1" w:styleId="110">
    <w:name w:val="标准文件_数字编号列项（二级）"/>
    <w:qFormat/>
    <w:uiPriority w:val="0"/>
    <w:pPr>
      <w:numPr>
        <w:ilvl w:val="1"/>
        <w:numId w:val="13"/>
      </w:numPr>
      <w:jc w:val="both"/>
    </w:pPr>
    <w:rPr>
      <w:rFonts w:ascii="宋体" w:hAnsi="Times New Roman" w:eastAsia="宋体" w:cs="Times New Roman"/>
      <w:sz w:val="21"/>
      <w:lang w:val="en-US" w:eastAsia="zh-CN" w:bidi="ar-SA"/>
    </w:rPr>
  </w:style>
  <w:style w:type="paragraph" w:customStyle="1" w:styleId="111">
    <w:name w:val="标准文件_英文注："/>
    <w:basedOn w:val="1"/>
    <w:next w:val="57"/>
    <w:qFormat/>
    <w:uiPriority w:val="0"/>
    <w:pPr>
      <w:numPr>
        <w:ilvl w:val="0"/>
        <w:numId w:val="14"/>
      </w:numPr>
      <w:tabs>
        <w:tab w:val="left" w:pos="420"/>
      </w:tabs>
      <w:autoSpaceDE w:val="0"/>
      <w:autoSpaceDN w:val="0"/>
      <w:spacing w:line="240" w:lineRule="auto"/>
    </w:pPr>
    <w:rPr>
      <w:rFonts w:ascii="宋体" w:hAnsi="宋体"/>
      <w:kern w:val="0"/>
      <w:sz w:val="18"/>
      <w:szCs w:val="20"/>
    </w:rPr>
  </w:style>
  <w:style w:type="paragraph" w:customStyle="1" w:styleId="112">
    <w:name w:val="标准文件_英文注×："/>
    <w:basedOn w:val="1"/>
    <w:qFormat/>
    <w:uiPriority w:val="0"/>
    <w:pPr>
      <w:numPr>
        <w:ilvl w:val="0"/>
        <w:numId w:val="15"/>
      </w:numPr>
      <w:tabs>
        <w:tab w:val="left" w:pos="210"/>
      </w:tabs>
      <w:autoSpaceDE w:val="0"/>
      <w:autoSpaceDN w:val="0"/>
      <w:spacing w:line="240" w:lineRule="auto"/>
    </w:pPr>
    <w:rPr>
      <w:rFonts w:ascii="宋体" w:hAnsi="宋体"/>
      <w:kern w:val="0"/>
      <w:szCs w:val="20"/>
    </w:rPr>
  </w:style>
  <w:style w:type="paragraph" w:customStyle="1" w:styleId="113">
    <w:name w:val="标准文件_正文表标题"/>
    <w:next w:val="57"/>
    <w:qFormat/>
    <w:uiPriority w:val="0"/>
    <w:pPr>
      <w:numPr>
        <w:ilvl w:val="0"/>
        <w:numId w:val="16"/>
      </w:numPr>
      <w:tabs>
        <w:tab w:val="left" w:pos="0"/>
      </w:tabs>
      <w:spacing w:beforeLines="50" w:afterLines="50"/>
      <w:jc w:val="center"/>
    </w:pPr>
    <w:rPr>
      <w:rFonts w:ascii="黑体" w:hAnsi="Times New Roman" w:eastAsia="黑体" w:cs="Times New Roman"/>
      <w:sz w:val="21"/>
      <w:lang w:val="en-US" w:eastAsia="zh-CN" w:bidi="ar-SA"/>
    </w:rPr>
  </w:style>
  <w:style w:type="paragraph" w:customStyle="1" w:styleId="114">
    <w:name w:val="标准文件_正文公式"/>
    <w:basedOn w:val="1"/>
    <w:next w:val="56"/>
    <w:qFormat/>
    <w:uiPriority w:val="0"/>
    <w:pPr>
      <w:tabs>
        <w:tab w:val="center" w:pos="4678"/>
        <w:tab w:val="right" w:leader="middleDot" w:pos="9356"/>
      </w:tabs>
      <w:spacing w:line="240" w:lineRule="auto"/>
    </w:pPr>
    <w:rPr>
      <w:rFonts w:ascii="宋体" w:hAnsi="宋体"/>
    </w:rPr>
  </w:style>
  <w:style w:type="paragraph" w:customStyle="1" w:styleId="115">
    <w:name w:val="标准文件_正文图标题"/>
    <w:next w:val="57"/>
    <w:qFormat/>
    <w:uiPriority w:val="0"/>
    <w:pPr>
      <w:numPr>
        <w:ilvl w:val="0"/>
        <w:numId w:val="17"/>
      </w:numPr>
      <w:spacing w:beforeLines="50" w:afterLines="50"/>
      <w:jc w:val="center"/>
    </w:pPr>
    <w:rPr>
      <w:rFonts w:ascii="黑体" w:hAnsi="Times New Roman" w:eastAsia="黑体" w:cs="Times New Roman"/>
      <w:sz w:val="21"/>
      <w:lang w:val="en-US" w:eastAsia="zh-CN" w:bidi="ar-SA"/>
    </w:rPr>
  </w:style>
  <w:style w:type="paragraph" w:customStyle="1" w:styleId="116">
    <w:name w:val="标准文件_正文英文表标题"/>
    <w:next w:val="57"/>
    <w:qFormat/>
    <w:uiPriority w:val="0"/>
    <w:pPr>
      <w:numPr>
        <w:ilvl w:val="0"/>
        <w:numId w:val="18"/>
      </w:numPr>
      <w:jc w:val="center"/>
    </w:pPr>
    <w:rPr>
      <w:rFonts w:ascii="黑体" w:hAnsi="Times New Roman" w:eastAsia="黑体" w:cs="Times New Roman"/>
      <w:sz w:val="21"/>
      <w:lang w:val="en-US" w:eastAsia="zh-CN" w:bidi="ar-SA"/>
    </w:rPr>
  </w:style>
  <w:style w:type="paragraph" w:customStyle="1" w:styleId="117">
    <w:name w:val="标准文件_正文英文图标题"/>
    <w:next w:val="57"/>
    <w:qFormat/>
    <w:uiPriority w:val="0"/>
    <w:pPr>
      <w:numPr>
        <w:ilvl w:val="0"/>
        <w:numId w:val="19"/>
      </w:numPr>
      <w:jc w:val="center"/>
    </w:pPr>
    <w:rPr>
      <w:rFonts w:ascii="黑体" w:hAnsi="Times New Roman" w:eastAsia="黑体" w:cs="Times New Roman"/>
      <w:sz w:val="21"/>
      <w:lang w:val="en-US" w:eastAsia="zh-CN" w:bidi="ar-SA"/>
    </w:rPr>
  </w:style>
  <w:style w:type="paragraph" w:customStyle="1" w:styleId="118">
    <w:name w:val="标准文件_编号列项（三级）"/>
    <w:qFormat/>
    <w:uiPriority w:val="0"/>
    <w:pPr>
      <w:numPr>
        <w:ilvl w:val="2"/>
        <w:numId w:val="13"/>
      </w:numPr>
    </w:pPr>
    <w:rPr>
      <w:rFonts w:ascii="宋体" w:hAnsi="Times New Roman" w:eastAsia="宋体" w:cs="Times New Roman"/>
      <w:sz w:val="21"/>
      <w:lang w:val="en-US" w:eastAsia="zh-CN" w:bidi="ar-SA"/>
    </w:rPr>
  </w:style>
  <w:style w:type="paragraph" w:customStyle="1" w:styleId="119">
    <w:name w:val="二级无标题条"/>
    <w:basedOn w:val="1"/>
    <w:qFormat/>
    <w:uiPriority w:val="0"/>
    <w:pPr>
      <w:numPr>
        <w:ilvl w:val="3"/>
        <w:numId w:val="20"/>
      </w:numPr>
      <w:adjustRightInd/>
      <w:spacing w:line="240" w:lineRule="auto"/>
    </w:pPr>
    <w:rPr>
      <w:rFonts w:ascii="宋体" w:hAnsi="宋体"/>
      <w:szCs w:val="24"/>
    </w:rPr>
  </w:style>
  <w:style w:type="paragraph" w:customStyle="1" w:styleId="120">
    <w:name w:val="发布部门"/>
    <w:next w:val="57"/>
    <w:qFormat/>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paragraph" w:customStyle="1" w:styleId="121">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22">
    <w:name w:val="封面标准代替信息"/>
    <w:basedOn w:val="1"/>
    <w:qFormat/>
    <w:uiPriority w:val="0"/>
    <w:pPr>
      <w:framePr w:w="9138" w:h="1244" w:hRule="exact" w:wrap="around"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123">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24">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25">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26">
    <w:name w:val="封面标准英文名称"/>
    <w:qFormat/>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27">
    <w:name w:val="封面一致性程度标识"/>
    <w:qFormat/>
    <w:uiPriority w:val="0"/>
    <w:pPr>
      <w:spacing w:before="440" w:line="440" w:lineRule="exact"/>
      <w:jc w:val="center"/>
    </w:pPr>
    <w:rPr>
      <w:rFonts w:ascii="Times New Roman" w:hAnsi="Times New Roman" w:eastAsia="宋体" w:cs="Times New Roman"/>
      <w:sz w:val="28"/>
      <w:lang w:val="en-US" w:eastAsia="zh-CN" w:bidi="ar-SA"/>
    </w:rPr>
  </w:style>
  <w:style w:type="paragraph" w:customStyle="1" w:styleId="128">
    <w:name w:val="封面正文"/>
    <w:qFormat/>
    <w:uiPriority w:val="0"/>
    <w:pPr>
      <w:jc w:val="both"/>
    </w:pPr>
    <w:rPr>
      <w:rFonts w:ascii="Times New Roman" w:hAnsi="Times New Roman" w:eastAsia="宋体" w:cs="Times New Roman"/>
      <w:lang w:val="en-US" w:eastAsia="zh-CN" w:bidi="ar-SA"/>
    </w:rPr>
  </w:style>
  <w:style w:type="paragraph" w:customStyle="1" w:styleId="129">
    <w:name w:val="附录二级无标题条"/>
    <w:basedOn w:val="1"/>
    <w:next w:val="57"/>
    <w:qFormat/>
    <w:uiPriority w:val="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130">
    <w:name w:val="附录三级无标题条"/>
    <w:basedOn w:val="129"/>
    <w:next w:val="57"/>
    <w:qFormat/>
    <w:uiPriority w:val="0"/>
    <w:pPr>
      <w:outlineLvl w:val="4"/>
    </w:pPr>
  </w:style>
  <w:style w:type="paragraph" w:customStyle="1" w:styleId="131">
    <w:name w:val="附录四级无标题条"/>
    <w:basedOn w:val="130"/>
    <w:next w:val="57"/>
    <w:qFormat/>
    <w:uiPriority w:val="0"/>
    <w:pPr>
      <w:outlineLvl w:val="5"/>
    </w:pPr>
  </w:style>
  <w:style w:type="paragraph" w:customStyle="1" w:styleId="132">
    <w:name w:val="附录图"/>
    <w:next w:val="57"/>
    <w:qFormat/>
    <w:uiPriority w:val="0"/>
    <w:pPr>
      <w:wordWrap w:val="0"/>
      <w:overflowPunct w:val="0"/>
      <w:autoSpaceDE w:val="0"/>
      <w:spacing w:beforeLines="50" w:afterLines="50"/>
      <w:jc w:val="center"/>
      <w:textAlignment w:val="baseline"/>
      <w:outlineLvl w:val="1"/>
    </w:pPr>
    <w:rPr>
      <w:rFonts w:ascii="黑体" w:hAnsi="Times New Roman" w:eastAsia="黑体" w:cs="Times New Roman"/>
      <w:kern w:val="21"/>
      <w:sz w:val="21"/>
      <w:lang w:val="en-US" w:eastAsia="zh-CN" w:bidi="ar-SA"/>
    </w:rPr>
  </w:style>
  <w:style w:type="paragraph" w:customStyle="1" w:styleId="133">
    <w:name w:val="标准文件_一级项"/>
    <w:qFormat/>
    <w:uiPriority w:val="0"/>
    <w:pPr>
      <w:numPr>
        <w:ilvl w:val="0"/>
        <w:numId w:val="21"/>
      </w:numPr>
    </w:pPr>
    <w:rPr>
      <w:rFonts w:ascii="宋体" w:hAnsi="Times New Roman" w:eastAsia="宋体" w:cs="Times New Roman"/>
      <w:sz w:val="21"/>
      <w:lang w:val="en-US" w:eastAsia="zh-CN" w:bidi="ar-SA"/>
    </w:rPr>
  </w:style>
  <w:style w:type="paragraph" w:customStyle="1" w:styleId="134">
    <w:name w:val="附录五级无标题条"/>
    <w:basedOn w:val="131"/>
    <w:next w:val="57"/>
    <w:qFormat/>
    <w:uiPriority w:val="0"/>
    <w:pPr>
      <w:outlineLvl w:val="6"/>
    </w:pPr>
  </w:style>
  <w:style w:type="paragraph" w:customStyle="1" w:styleId="135">
    <w:name w:val="附录性质"/>
    <w:basedOn w:val="1"/>
    <w:qFormat/>
    <w:uiPriority w:val="0"/>
    <w:pPr>
      <w:widowControl/>
      <w:adjustRightInd/>
      <w:jc w:val="center"/>
    </w:pPr>
    <w:rPr>
      <w:rFonts w:ascii="黑体" w:eastAsia="黑体"/>
    </w:rPr>
  </w:style>
  <w:style w:type="paragraph" w:customStyle="1" w:styleId="136">
    <w:name w:val="附录一级无标题条"/>
    <w:basedOn w:val="88"/>
    <w:next w:val="57"/>
    <w:qFormat/>
    <w:uiPriority w:val="0"/>
    <w:pPr>
      <w:autoSpaceDN w:val="0"/>
      <w:outlineLvl w:val="2"/>
    </w:pPr>
    <w:rPr>
      <w:rFonts w:ascii="宋体" w:hAnsi="宋体" w:eastAsia="宋体"/>
    </w:rPr>
  </w:style>
  <w:style w:type="character" w:customStyle="1" w:styleId="137">
    <w:name w:val="个人答复风格"/>
    <w:qFormat/>
    <w:uiPriority w:val="0"/>
    <w:rPr>
      <w:rFonts w:ascii="Arial" w:hAnsi="Arial" w:eastAsia="宋体" w:cs="Arial"/>
      <w:color w:val="auto"/>
      <w:spacing w:val="0"/>
      <w:sz w:val="20"/>
    </w:rPr>
  </w:style>
  <w:style w:type="character" w:customStyle="1" w:styleId="138">
    <w:name w:val="个人撰写风格"/>
    <w:qFormat/>
    <w:uiPriority w:val="0"/>
    <w:rPr>
      <w:rFonts w:ascii="Arial" w:hAnsi="Arial" w:eastAsia="宋体" w:cs="Arial"/>
      <w:color w:val="auto"/>
      <w:spacing w:val="0"/>
      <w:sz w:val="20"/>
    </w:rPr>
  </w:style>
  <w:style w:type="paragraph" w:customStyle="1" w:styleId="139">
    <w:name w:val="脚注后续"/>
    <w:qFormat/>
    <w:uiPriority w:val="0"/>
    <w:pPr>
      <w:ind w:left="350" w:leftChars="350"/>
      <w:jc w:val="both"/>
    </w:pPr>
    <w:rPr>
      <w:rFonts w:ascii="宋体" w:hAnsi="Times New Roman" w:eastAsia="宋体" w:cs="Times New Roman"/>
      <w:sz w:val="18"/>
      <w:lang w:val="en-US" w:eastAsia="zh-CN" w:bidi="ar-SA"/>
    </w:rPr>
  </w:style>
  <w:style w:type="paragraph" w:customStyle="1" w:styleId="140">
    <w:name w:val="列项——"/>
    <w:qFormat/>
    <w:uiPriority w:val="0"/>
    <w:pPr>
      <w:widowControl w:val="0"/>
      <w:numPr>
        <w:ilvl w:val="0"/>
        <w:numId w:val="22"/>
      </w:numPr>
      <w:jc w:val="both"/>
    </w:pPr>
    <w:rPr>
      <w:rFonts w:ascii="宋体" w:hAnsi="宋体" w:eastAsia="宋体" w:cs="Times New Roman"/>
      <w:sz w:val="21"/>
      <w:lang w:val="en-US" w:eastAsia="zh-CN" w:bidi="ar-SA"/>
    </w:rPr>
  </w:style>
  <w:style w:type="paragraph" w:customStyle="1" w:styleId="141">
    <w:name w:val="列项·"/>
    <w:basedOn w:val="57"/>
    <w:qFormat/>
    <w:uiPriority w:val="0"/>
    <w:pPr>
      <w:tabs>
        <w:tab w:val="left" w:pos="840"/>
      </w:tabs>
    </w:pPr>
  </w:style>
  <w:style w:type="paragraph" w:customStyle="1" w:styleId="142">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43">
    <w:name w:val="目录 21"/>
    <w:basedOn w:val="1"/>
    <w:next w:val="1"/>
    <w:semiHidden/>
    <w:qFormat/>
    <w:uiPriority w:val="0"/>
    <w:pPr>
      <w:adjustRightInd/>
      <w:spacing w:line="240" w:lineRule="auto"/>
      <w:jc w:val="left"/>
    </w:pPr>
    <w:rPr>
      <w:bCs/>
      <w:iCs/>
    </w:rPr>
  </w:style>
  <w:style w:type="paragraph" w:customStyle="1" w:styleId="144">
    <w:name w:val="目录 31"/>
    <w:basedOn w:val="1"/>
    <w:next w:val="1"/>
    <w:semiHidden/>
    <w:qFormat/>
    <w:uiPriority w:val="0"/>
    <w:pPr>
      <w:spacing w:line="240" w:lineRule="auto"/>
    </w:pPr>
    <w:rPr>
      <w:rFonts w:ascii="宋体" w:hAnsi="宋体"/>
      <w:iCs/>
    </w:rPr>
  </w:style>
  <w:style w:type="paragraph" w:customStyle="1" w:styleId="145">
    <w:name w:val="目录 41"/>
    <w:basedOn w:val="1"/>
    <w:next w:val="1"/>
    <w:semiHidden/>
    <w:qFormat/>
    <w:uiPriority w:val="0"/>
    <w:pPr>
      <w:adjustRightInd/>
      <w:spacing w:line="240" w:lineRule="auto"/>
      <w:jc w:val="left"/>
    </w:pPr>
  </w:style>
  <w:style w:type="paragraph" w:customStyle="1" w:styleId="146">
    <w:name w:val="目录 51"/>
    <w:basedOn w:val="1"/>
    <w:next w:val="1"/>
    <w:semiHidden/>
    <w:qFormat/>
    <w:uiPriority w:val="0"/>
    <w:pPr>
      <w:spacing w:line="240" w:lineRule="auto"/>
    </w:pPr>
    <w:rPr>
      <w:rFonts w:ascii="宋体" w:hAnsi="宋体"/>
    </w:rPr>
  </w:style>
  <w:style w:type="paragraph" w:customStyle="1" w:styleId="147">
    <w:name w:val="目录 61"/>
    <w:basedOn w:val="1"/>
    <w:next w:val="1"/>
    <w:semiHidden/>
    <w:qFormat/>
    <w:uiPriority w:val="0"/>
    <w:pPr>
      <w:adjustRightInd/>
      <w:spacing w:line="240" w:lineRule="auto"/>
      <w:jc w:val="left"/>
    </w:pPr>
  </w:style>
  <w:style w:type="paragraph" w:customStyle="1" w:styleId="148">
    <w:name w:val="目录 71"/>
    <w:basedOn w:val="147"/>
    <w:semiHidden/>
    <w:qFormat/>
    <w:uiPriority w:val="0"/>
    <w:pPr>
      <w:ind w:left="1260"/>
    </w:pPr>
  </w:style>
  <w:style w:type="paragraph" w:customStyle="1" w:styleId="149">
    <w:name w:val="目录 81"/>
    <w:basedOn w:val="148"/>
    <w:semiHidden/>
    <w:qFormat/>
    <w:uiPriority w:val="0"/>
    <w:pPr>
      <w:ind w:left="1470"/>
    </w:pPr>
  </w:style>
  <w:style w:type="paragraph" w:customStyle="1" w:styleId="150">
    <w:name w:val="目录 91"/>
    <w:basedOn w:val="149"/>
    <w:semiHidden/>
    <w:qFormat/>
    <w:uiPriority w:val="0"/>
    <w:pPr>
      <w:ind w:left="1680"/>
    </w:pPr>
  </w:style>
  <w:style w:type="paragraph" w:customStyle="1" w:styleId="151">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152">
    <w:name w:val="其他发布部门"/>
    <w:basedOn w:val="120"/>
    <w:qFormat/>
    <w:uiPriority w:val="0"/>
    <w:pPr>
      <w:framePr/>
      <w:spacing w:line="0" w:lineRule="atLeast"/>
    </w:pPr>
    <w:rPr>
      <w:rFonts w:ascii="黑体" w:eastAsia="黑体"/>
      <w:b w:val="0"/>
    </w:rPr>
  </w:style>
  <w:style w:type="paragraph" w:customStyle="1" w:styleId="153">
    <w:name w:val="前言标题"/>
    <w:next w:val="1"/>
    <w:qFormat/>
    <w:uiPriority w:val="0"/>
    <w:pPr>
      <w:numPr>
        <w:ilvl w:val="0"/>
        <w:numId w:val="2"/>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4">
    <w:name w:val="三级无标题条"/>
    <w:basedOn w:val="1"/>
    <w:qFormat/>
    <w:uiPriority w:val="0"/>
    <w:pPr>
      <w:numPr>
        <w:ilvl w:val="4"/>
        <w:numId w:val="20"/>
      </w:numPr>
      <w:adjustRightInd/>
      <w:spacing w:line="240" w:lineRule="auto"/>
    </w:pPr>
    <w:rPr>
      <w:rFonts w:ascii="宋体" w:hAnsi="宋体"/>
      <w:szCs w:val="24"/>
    </w:rPr>
  </w:style>
  <w:style w:type="paragraph" w:customStyle="1" w:styleId="155">
    <w:name w:val="实施日期"/>
    <w:basedOn w:val="121"/>
    <w:qFormat/>
    <w:uiPriority w:val="0"/>
    <w:pPr>
      <w:framePr w:hSpace="0" w:xAlign="right"/>
      <w:jc w:val="right"/>
    </w:pPr>
  </w:style>
  <w:style w:type="paragraph" w:customStyle="1" w:styleId="156">
    <w:name w:val="四级无标题条"/>
    <w:basedOn w:val="1"/>
    <w:qFormat/>
    <w:uiPriority w:val="0"/>
    <w:pPr>
      <w:numPr>
        <w:ilvl w:val="5"/>
        <w:numId w:val="20"/>
      </w:numPr>
      <w:adjustRightInd/>
      <w:spacing w:line="240" w:lineRule="auto"/>
    </w:pPr>
    <w:rPr>
      <w:rFonts w:ascii="宋体" w:hAnsi="宋体"/>
      <w:szCs w:val="24"/>
    </w:rPr>
  </w:style>
  <w:style w:type="paragraph" w:customStyle="1" w:styleId="157">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58">
    <w:name w:val="无标题条"/>
    <w:next w:val="57"/>
    <w:qFormat/>
    <w:uiPriority w:val="0"/>
    <w:pPr>
      <w:jc w:val="both"/>
    </w:pPr>
    <w:rPr>
      <w:rFonts w:ascii="宋体" w:hAnsi="宋体" w:eastAsia="宋体" w:cs="Times New Roman"/>
      <w:sz w:val="21"/>
      <w:lang w:val="en-US" w:eastAsia="zh-CN" w:bidi="ar-SA"/>
    </w:rPr>
  </w:style>
  <w:style w:type="paragraph" w:customStyle="1" w:styleId="159">
    <w:name w:val="五级无标题条"/>
    <w:basedOn w:val="1"/>
    <w:qFormat/>
    <w:uiPriority w:val="0"/>
    <w:pPr>
      <w:numPr>
        <w:ilvl w:val="6"/>
        <w:numId w:val="20"/>
      </w:numPr>
      <w:adjustRightInd/>
    </w:pPr>
    <w:rPr>
      <w:szCs w:val="24"/>
    </w:rPr>
  </w:style>
  <w:style w:type="paragraph" w:customStyle="1" w:styleId="160">
    <w:name w:val="一级无标题条"/>
    <w:basedOn w:val="1"/>
    <w:qFormat/>
    <w:uiPriority w:val="0"/>
    <w:pPr>
      <w:numPr>
        <w:ilvl w:val="2"/>
        <w:numId w:val="20"/>
      </w:numPr>
      <w:adjustRightInd/>
      <w:spacing w:before="10" w:after="10" w:line="240" w:lineRule="auto"/>
    </w:pPr>
    <w:rPr>
      <w:rFonts w:ascii="宋体" w:hAnsi="宋体"/>
      <w:szCs w:val="24"/>
    </w:rPr>
  </w:style>
  <w:style w:type="paragraph" w:customStyle="1" w:styleId="161">
    <w:name w:val="注:后续"/>
    <w:qFormat/>
    <w:uiPriority w:val="0"/>
    <w:pPr>
      <w:spacing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162">
    <w:name w:val="注×:后续"/>
    <w:basedOn w:val="161"/>
    <w:qFormat/>
    <w:uiPriority w:val="0"/>
    <w:pPr>
      <w:ind w:left="1406" w:leftChars="0" w:hanging="499" w:firstLineChars="0"/>
    </w:pPr>
  </w:style>
  <w:style w:type="paragraph" w:customStyle="1" w:styleId="163">
    <w:name w:val="标准文件_一级无标题"/>
    <w:basedOn w:val="106"/>
    <w:qFormat/>
    <w:uiPriority w:val="0"/>
    <w:pPr>
      <w:spacing w:beforeLines="0" w:afterLines="0"/>
      <w:outlineLvl w:val="9"/>
    </w:pPr>
    <w:rPr>
      <w:rFonts w:ascii="宋体" w:eastAsia="宋体"/>
    </w:rPr>
  </w:style>
  <w:style w:type="paragraph" w:customStyle="1" w:styleId="164">
    <w:name w:val="标准文件_五级无标题"/>
    <w:basedOn w:val="104"/>
    <w:qFormat/>
    <w:uiPriority w:val="0"/>
    <w:pPr>
      <w:spacing w:beforeLines="0" w:afterLines="0"/>
      <w:outlineLvl w:val="9"/>
    </w:pPr>
    <w:rPr>
      <w:rFonts w:ascii="宋体" w:eastAsia="宋体"/>
    </w:rPr>
  </w:style>
  <w:style w:type="paragraph" w:customStyle="1" w:styleId="165">
    <w:name w:val="标准文件_三级无标题"/>
    <w:basedOn w:val="95"/>
    <w:qFormat/>
    <w:uiPriority w:val="0"/>
    <w:pPr>
      <w:spacing w:beforeLines="0" w:afterLines="0"/>
      <w:outlineLvl w:val="9"/>
    </w:pPr>
    <w:rPr>
      <w:rFonts w:ascii="宋体" w:eastAsia="宋体"/>
    </w:rPr>
  </w:style>
  <w:style w:type="paragraph" w:customStyle="1" w:styleId="166">
    <w:name w:val="标准文件_二级无标题"/>
    <w:basedOn w:val="66"/>
    <w:qFormat/>
    <w:uiPriority w:val="0"/>
    <w:pPr>
      <w:spacing w:beforeLines="0" w:afterLines="0"/>
      <w:outlineLvl w:val="9"/>
    </w:pPr>
    <w:rPr>
      <w:rFonts w:ascii="宋体" w:eastAsia="宋体"/>
    </w:rPr>
  </w:style>
  <w:style w:type="paragraph" w:customStyle="1" w:styleId="167">
    <w:name w:val="标准_四级无标题"/>
    <w:basedOn w:val="99"/>
    <w:next w:val="57"/>
    <w:qFormat/>
    <w:uiPriority w:val="0"/>
    <w:rPr>
      <w:rFonts w:eastAsia="宋体"/>
    </w:rPr>
  </w:style>
  <w:style w:type="paragraph" w:customStyle="1" w:styleId="168">
    <w:name w:val="标准文件_四级无标题"/>
    <w:basedOn w:val="99"/>
    <w:qFormat/>
    <w:uiPriority w:val="0"/>
    <w:pPr>
      <w:spacing w:beforeLines="0" w:afterLines="0"/>
      <w:outlineLvl w:val="9"/>
    </w:pPr>
    <w:rPr>
      <w:rFonts w:ascii="宋体" w:hAnsi="黑体" w:eastAsia="宋体"/>
      <w:szCs w:val="52"/>
    </w:rPr>
  </w:style>
  <w:style w:type="paragraph" w:customStyle="1" w:styleId="169">
    <w:name w:val="标准文件_大写罗马数字编号列项"/>
    <w:basedOn w:val="57"/>
    <w:qFormat/>
    <w:uiPriority w:val="0"/>
    <w:pPr>
      <w:numPr>
        <w:ilvl w:val="0"/>
        <w:numId w:val="23"/>
      </w:numPr>
      <w:ind w:firstLine="0" w:firstLineChars="0"/>
    </w:pPr>
    <w:rPr>
      <w:rFonts w:ascii="Times New Roman" w:cs="Arial"/>
      <w:szCs w:val="28"/>
    </w:rPr>
  </w:style>
  <w:style w:type="paragraph" w:customStyle="1" w:styleId="170">
    <w:name w:val="标准文件_小写罗马数字编号列项"/>
    <w:basedOn w:val="57"/>
    <w:qFormat/>
    <w:uiPriority w:val="0"/>
    <w:pPr>
      <w:numPr>
        <w:ilvl w:val="0"/>
        <w:numId w:val="24"/>
      </w:numPr>
      <w:ind w:firstLine="0" w:firstLineChars="0"/>
    </w:pPr>
    <w:rPr>
      <w:rFonts w:cs="Arial"/>
      <w:szCs w:val="28"/>
    </w:rPr>
  </w:style>
  <w:style w:type="paragraph" w:customStyle="1" w:styleId="171">
    <w:name w:val="标准文件_附录标题"/>
    <w:basedOn w:val="77"/>
    <w:qFormat/>
    <w:uiPriority w:val="0"/>
    <w:pPr>
      <w:numPr>
        <w:numId w:val="0"/>
      </w:numPr>
      <w:spacing w:after="280"/>
      <w:outlineLvl w:val="9"/>
    </w:pPr>
  </w:style>
  <w:style w:type="paragraph" w:customStyle="1" w:styleId="172">
    <w:name w:val="标准文件_二级项"/>
    <w:qFormat/>
    <w:uiPriority w:val="0"/>
    <w:rPr>
      <w:rFonts w:ascii="宋体" w:hAnsi="Times New Roman" w:eastAsia="宋体" w:cs="Times New Roman"/>
      <w:sz w:val="21"/>
      <w:lang w:val="en-US" w:eastAsia="zh-CN" w:bidi="ar-SA"/>
    </w:rPr>
  </w:style>
  <w:style w:type="paragraph" w:customStyle="1" w:styleId="173">
    <w:name w:val="标准文件_三级项"/>
    <w:basedOn w:val="1"/>
    <w:qFormat/>
    <w:uiPriority w:val="0"/>
    <w:pPr>
      <w:numPr>
        <w:ilvl w:val="2"/>
        <w:numId w:val="21"/>
      </w:numPr>
      <w:spacing w:line="536870612" w:lineRule="auto"/>
    </w:pPr>
    <w:rPr>
      <w:rFonts w:ascii="Times New Roman" w:hAnsi="Times New Roman"/>
    </w:rPr>
  </w:style>
  <w:style w:type="paragraph" w:customStyle="1" w:styleId="174">
    <w:name w:val="图表脚注说明"/>
    <w:basedOn w:val="1"/>
    <w:next w:val="57"/>
    <w:qFormat/>
    <w:uiPriority w:val="0"/>
    <w:pPr>
      <w:numPr>
        <w:ilvl w:val="0"/>
        <w:numId w:val="25"/>
      </w:numPr>
      <w:adjustRightInd/>
      <w:spacing w:line="240" w:lineRule="auto"/>
    </w:pPr>
    <w:rPr>
      <w:rFonts w:ascii="宋体" w:hAnsi="Times New Roman"/>
      <w:sz w:val="18"/>
      <w:szCs w:val="18"/>
    </w:rPr>
  </w:style>
  <w:style w:type="paragraph" w:customStyle="1" w:styleId="175">
    <w:name w:val="标准文件_字母编号列项（一级）"/>
    <w:qFormat/>
    <w:uiPriority w:val="0"/>
    <w:pPr>
      <w:numPr>
        <w:ilvl w:val="0"/>
        <w:numId w:val="13"/>
      </w:numPr>
      <w:jc w:val="both"/>
    </w:pPr>
    <w:rPr>
      <w:rFonts w:ascii="宋体" w:hAnsi="Times New Roman" w:eastAsia="宋体" w:cs="Times New Roman"/>
      <w:sz w:val="21"/>
      <w:lang w:val="en-US" w:eastAsia="zh-CN" w:bidi="ar-SA"/>
    </w:rPr>
  </w:style>
  <w:style w:type="paragraph" w:customStyle="1" w:styleId="176">
    <w:name w:val="标准文件_索引字母"/>
    <w:next w:val="57"/>
    <w:qFormat/>
    <w:uiPriority w:val="0"/>
    <w:pPr>
      <w:jc w:val="center"/>
    </w:pPr>
    <w:rPr>
      <w:rFonts w:ascii="宋体" w:hAnsi="宋体" w:eastAsia="Times New Roman" w:cs="Times New Roman"/>
      <w:b/>
      <w:kern w:val="2"/>
      <w:sz w:val="21"/>
      <w:lang w:val="en-US" w:eastAsia="zh-CN" w:bidi="ar-SA"/>
    </w:rPr>
  </w:style>
  <w:style w:type="paragraph" w:customStyle="1" w:styleId="177">
    <w:name w:val="标准文件_附录前"/>
    <w:next w:val="57"/>
    <w:qFormat/>
    <w:uiPriority w:val="0"/>
    <w:pPr>
      <w:spacing w:line="20" w:lineRule="atLeast"/>
      <w:ind w:firstLine="200"/>
    </w:pPr>
    <w:rPr>
      <w:rFonts w:ascii="宋体" w:hAnsi="宋体" w:eastAsia="宋体" w:cs="Times New Roman"/>
      <w:kern w:val="2"/>
      <w:sz w:val="10"/>
      <w:lang w:val="en-US" w:eastAsia="zh-CN" w:bidi="ar-SA"/>
    </w:rPr>
  </w:style>
  <w:style w:type="paragraph" w:customStyle="1" w:styleId="178">
    <w:name w:val="标准文件_正文标准名称"/>
    <w:qFormat/>
    <w:uiPriority w:val="0"/>
    <w:pPr>
      <w:spacing w:before="560" w:after="640" w:line="400" w:lineRule="exact"/>
      <w:jc w:val="center"/>
    </w:pPr>
    <w:rPr>
      <w:rFonts w:ascii="黑体" w:hAnsi="黑体" w:eastAsia="黑体" w:cs="Times New Roman"/>
      <w:kern w:val="2"/>
      <w:sz w:val="32"/>
      <w:szCs w:val="32"/>
      <w:lang w:val="en-US" w:eastAsia="zh-CN" w:bidi="ar-SA"/>
    </w:rPr>
  </w:style>
  <w:style w:type="paragraph" w:customStyle="1" w:styleId="179">
    <w:name w:val="标准文件_表格"/>
    <w:basedOn w:val="57"/>
    <w:qFormat/>
    <w:uiPriority w:val="0"/>
    <w:pPr>
      <w:ind w:firstLine="0" w:firstLineChars="0"/>
      <w:jc w:val="center"/>
    </w:pPr>
    <w:rPr>
      <w:sz w:val="18"/>
    </w:rPr>
  </w:style>
  <w:style w:type="paragraph" w:customStyle="1" w:styleId="180">
    <w:name w:val="标准文件_注："/>
    <w:next w:val="57"/>
    <w:qFormat/>
    <w:uiPriority w:val="0"/>
    <w:pPr>
      <w:widowControl w:val="0"/>
      <w:numPr>
        <w:ilvl w:val="0"/>
        <w:numId w:val="26"/>
      </w:numPr>
      <w:autoSpaceDE w:val="0"/>
      <w:autoSpaceDN w:val="0"/>
      <w:jc w:val="both"/>
    </w:pPr>
    <w:rPr>
      <w:rFonts w:ascii="宋体" w:hAnsi="Times New Roman" w:eastAsia="宋体" w:cs="Times New Roman"/>
      <w:sz w:val="18"/>
      <w:szCs w:val="18"/>
      <w:lang w:val="en-US" w:eastAsia="zh-CN" w:bidi="ar-SA"/>
    </w:rPr>
  </w:style>
  <w:style w:type="paragraph" w:customStyle="1" w:styleId="181">
    <w:name w:val="标准文件_注×："/>
    <w:qFormat/>
    <w:uiPriority w:val="0"/>
    <w:pPr>
      <w:widowControl w:val="0"/>
      <w:numPr>
        <w:ilvl w:val="0"/>
        <w:numId w:val="27"/>
      </w:numPr>
      <w:autoSpaceDE w:val="0"/>
      <w:autoSpaceDN w:val="0"/>
      <w:jc w:val="both"/>
    </w:pPr>
    <w:rPr>
      <w:rFonts w:ascii="宋体" w:hAnsi="Times New Roman" w:eastAsia="宋体" w:cs="Times New Roman"/>
      <w:sz w:val="18"/>
      <w:szCs w:val="18"/>
      <w:lang w:val="en-US" w:eastAsia="zh-CN" w:bidi="ar-SA"/>
    </w:rPr>
  </w:style>
  <w:style w:type="paragraph" w:customStyle="1" w:styleId="182">
    <w:name w:val="标准文件_示例："/>
    <w:next w:val="183"/>
    <w:qFormat/>
    <w:uiPriority w:val="0"/>
    <w:pPr>
      <w:widowControl w:val="0"/>
      <w:numPr>
        <w:ilvl w:val="0"/>
        <w:numId w:val="28"/>
      </w:numPr>
      <w:jc w:val="both"/>
    </w:pPr>
    <w:rPr>
      <w:rFonts w:ascii="宋体" w:hAnsi="Times New Roman" w:eastAsia="宋体" w:cs="Times New Roman"/>
      <w:sz w:val="18"/>
      <w:szCs w:val="18"/>
      <w:lang w:val="en-US" w:eastAsia="zh-CN" w:bidi="ar-SA"/>
    </w:rPr>
  </w:style>
  <w:style w:type="paragraph" w:customStyle="1" w:styleId="183">
    <w:name w:val="标准文件_示例内容"/>
    <w:basedOn w:val="57"/>
    <w:qFormat/>
    <w:uiPriority w:val="0"/>
    <w:pPr>
      <w:ind w:firstLine="420"/>
    </w:pPr>
    <w:rPr>
      <w:sz w:val="18"/>
    </w:rPr>
  </w:style>
  <w:style w:type="paragraph" w:customStyle="1" w:styleId="184">
    <w:name w:val="标准文件_示例×："/>
    <w:basedOn w:val="1"/>
    <w:next w:val="183"/>
    <w:qFormat/>
    <w:uiPriority w:val="0"/>
    <w:pPr>
      <w:widowControl/>
      <w:numPr>
        <w:ilvl w:val="0"/>
        <w:numId w:val="29"/>
      </w:numPr>
      <w:adjustRightInd/>
      <w:spacing w:line="240" w:lineRule="auto"/>
    </w:pPr>
    <w:rPr>
      <w:rFonts w:ascii="宋体" w:hAnsi="Times New Roman"/>
      <w:kern w:val="0"/>
      <w:sz w:val="18"/>
      <w:szCs w:val="18"/>
    </w:rPr>
  </w:style>
  <w:style w:type="character" w:customStyle="1" w:styleId="185">
    <w:name w:val="标准文件_段 Char"/>
    <w:link w:val="57"/>
    <w:qFormat/>
    <w:uiPriority w:val="0"/>
    <w:rPr>
      <w:rFonts w:ascii="宋体" w:hAnsi="Times New Roman"/>
      <w:sz w:val="21"/>
    </w:rPr>
  </w:style>
  <w:style w:type="paragraph" w:customStyle="1" w:styleId="186">
    <w:name w:val="标准文件_表格续"/>
    <w:basedOn w:val="57"/>
    <w:next w:val="57"/>
    <w:qFormat/>
    <w:uiPriority w:val="0"/>
    <w:pPr>
      <w:jc w:val="center"/>
    </w:pPr>
    <w:rPr>
      <w:rFonts w:ascii="黑体" w:hAnsi="黑体" w:eastAsia="黑体"/>
    </w:rPr>
  </w:style>
  <w:style w:type="character" w:styleId="187">
    <w:name w:val="Placeholder Text"/>
    <w:basedOn w:val="27"/>
    <w:semiHidden/>
    <w:qFormat/>
    <w:uiPriority w:val="99"/>
    <w:rPr>
      <w:color w:val="808080"/>
    </w:rPr>
  </w:style>
  <w:style w:type="paragraph" w:customStyle="1" w:styleId="188">
    <w:name w:val="标准文件_二级项2"/>
    <w:basedOn w:val="57"/>
    <w:qFormat/>
    <w:uiPriority w:val="0"/>
    <w:pPr>
      <w:numPr>
        <w:ilvl w:val="1"/>
        <w:numId w:val="21"/>
      </w:numPr>
      <w:ind w:firstLine="0" w:firstLineChars="0"/>
    </w:pPr>
  </w:style>
  <w:style w:type="paragraph" w:customStyle="1" w:styleId="189">
    <w:name w:val="标准文件_三级项2"/>
    <w:basedOn w:val="57"/>
    <w:qFormat/>
    <w:uiPriority w:val="0"/>
    <w:pPr>
      <w:numPr>
        <w:ilvl w:val="0"/>
        <w:numId w:val="30"/>
      </w:numPr>
      <w:spacing w:line="300" w:lineRule="exact"/>
      <w:ind w:firstLineChars="0"/>
    </w:pPr>
    <w:rPr>
      <w:rFonts w:ascii="Times New Roman"/>
    </w:rPr>
  </w:style>
  <w:style w:type="paragraph" w:customStyle="1" w:styleId="190">
    <w:name w:val="标准文件_一级项2"/>
    <w:basedOn w:val="57"/>
    <w:qFormat/>
    <w:uiPriority w:val="0"/>
    <w:pPr>
      <w:numPr>
        <w:ilvl w:val="0"/>
        <w:numId w:val="31"/>
      </w:numPr>
      <w:spacing w:line="300" w:lineRule="exact"/>
      <w:ind w:firstLineChars="0"/>
    </w:pPr>
    <w:rPr>
      <w:rFonts w:ascii="Times New Roman"/>
    </w:rPr>
  </w:style>
  <w:style w:type="paragraph" w:customStyle="1" w:styleId="191">
    <w:name w:val="标准文件_提示"/>
    <w:basedOn w:val="57"/>
    <w:next w:val="57"/>
    <w:qFormat/>
    <w:uiPriority w:val="0"/>
    <w:pPr>
      <w:ind w:firstLine="420"/>
    </w:pPr>
    <w:rPr>
      <w:rFonts w:ascii="黑体" w:eastAsia="黑体"/>
    </w:rPr>
  </w:style>
  <w:style w:type="character" w:customStyle="1" w:styleId="192">
    <w:name w:val="标准文件_来源"/>
    <w:basedOn w:val="27"/>
    <w:qFormat/>
    <w:uiPriority w:val="1"/>
    <w:rPr>
      <w:rFonts w:eastAsia="宋体"/>
      <w:sz w:val="21"/>
    </w:rPr>
  </w:style>
  <w:style w:type="paragraph" w:customStyle="1" w:styleId="193">
    <w:name w:val="标准文件_图表说明"/>
    <w:qFormat/>
    <w:uiPriority w:val="0"/>
    <w:pPr>
      <w:spacing w:line="276" w:lineRule="auto"/>
      <w:ind w:firstLine="420"/>
    </w:pPr>
    <w:rPr>
      <w:rFonts w:ascii="宋体" w:hAnsi="宋体" w:eastAsia="宋体" w:cs="Times New Roman"/>
      <w:kern w:val="2"/>
      <w:sz w:val="18"/>
      <w:lang w:val="en-US" w:eastAsia="zh-CN" w:bidi="ar-SA"/>
    </w:rPr>
  </w:style>
  <w:style w:type="paragraph" w:customStyle="1" w:styleId="194">
    <w:name w:val="其他发布日期"/>
    <w:basedOn w:val="121"/>
    <w:qFormat/>
    <w:uiPriority w:val="0"/>
    <w:pPr>
      <w:framePr w:w="3997" w:h="471" w:hRule="exact" w:hSpace="0" w:vSpace="181" w:vAnchor="page" w:hAnchor="page" w:x="1419" w:y="14097"/>
    </w:pPr>
  </w:style>
  <w:style w:type="paragraph" w:customStyle="1" w:styleId="195">
    <w:name w:val="其他实施日期"/>
    <w:basedOn w:val="155"/>
    <w:qFormat/>
    <w:uiPriority w:val="0"/>
    <w:pPr>
      <w:framePr w:w="3997" w:h="471" w:hRule="exact" w:vSpace="181" w:vAnchor="page" w:hAnchor="page" w:x="7089" w:y="14097"/>
    </w:pPr>
  </w:style>
  <w:style w:type="paragraph" w:customStyle="1" w:styleId="196">
    <w:name w:val="标准文件_文件编号"/>
    <w:basedOn w:val="57"/>
    <w:qFormat/>
    <w:uiPriority w:val="0"/>
    <w:pPr>
      <w:framePr w:w="9356" w:h="624" w:hRule="exact" w:hSpace="181" w:vSpace="181" w:wrap="around" w:vAnchor="page" w:hAnchor="page" w:x="1419" w:y="3284"/>
      <w:wordWrap w:val="0"/>
      <w:spacing w:line="280" w:lineRule="exact"/>
      <w:ind w:firstLine="0" w:firstLineChars="0"/>
      <w:jc w:val="right"/>
    </w:pPr>
    <w:rPr>
      <w:rFonts w:ascii="黑体" w:eastAsia="黑体"/>
      <w:bCs/>
      <w:sz w:val="28"/>
      <w:szCs w:val="28"/>
    </w:rPr>
  </w:style>
  <w:style w:type="paragraph" w:customStyle="1" w:styleId="197">
    <w:name w:val="标准文件_替换文件编号"/>
    <w:basedOn w:val="196"/>
    <w:qFormat/>
    <w:uiPriority w:val="0"/>
    <w:pPr>
      <w:spacing w:before="57"/>
    </w:pPr>
    <w:rPr>
      <w:sz w:val="21"/>
    </w:rPr>
  </w:style>
  <w:style w:type="paragraph" w:customStyle="1" w:styleId="198">
    <w:name w:val="标准文件_文件名称"/>
    <w:basedOn w:val="57"/>
    <w:next w:val="57"/>
    <w:qFormat/>
    <w:uiPriority w:val="0"/>
    <w:pPr>
      <w:framePr w:w="9639" w:h="6976" w:hRule="exact" w:wrap="around" w:vAnchor="page" w:hAnchor="page" w:y="6408"/>
      <w:autoSpaceDE/>
      <w:autoSpaceDN/>
      <w:spacing w:line="700" w:lineRule="exact"/>
      <w:ind w:firstLine="0" w:firstLineChars="0"/>
      <w:jc w:val="center"/>
    </w:pPr>
    <w:rPr>
      <w:rFonts w:ascii="黑体" w:hAnsi="黑体" w:eastAsia="黑体"/>
      <w:bCs/>
      <w:sz w:val="52"/>
    </w:rPr>
  </w:style>
  <w:style w:type="paragraph" w:customStyle="1" w:styleId="199">
    <w:name w:val="标准文件_附录图标号"/>
    <w:basedOn w:val="57"/>
    <w:next w:val="57"/>
    <w:qFormat/>
    <w:uiPriority w:val="0"/>
    <w:pPr>
      <w:numPr>
        <w:ilvl w:val="0"/>
        <w:numId w:val="6"/>
      </w:numPr>
      <w:spacing w:line="14" w:lineRule="exact"/>
      <w:ind w:firstLine="0" w:firstLineChars="0"/>
      <w:jc w:val="center"/>
    </w:pPr>
    <w:rPr>
      <w:rFonts w:ascii="黑体" w:hAnsi="黑体" w:eastAsia="黑体"/>
      <w:vanish/>
      <w:sz w:val="2"/>
      <w:szCs w:val="21"/>
    </w:rPr>
  </w:style>
  <w:style w:type="paragraph" w:customStyle="1" w:styleId="200">
    <w:name w:val="标准文件_附录表标号"/>
    <w:basedOn w:val="57"/>
    <w:next w:val="57"/>
    <w:qFormat/>
    <w:uiPriority w:val="0"/>
    <w:pPr>
      <w:numPr>
        <w:ilvl w:val="0"/>
        <w:numId w:val="5"/>
      </w:numPr>
      <w:spacing w:line="14" w:lineRule="exact"/>
      <w:ind w:firstLine="0" w:firstLineChars="0"/>
      <w:jc w:val="center"/>
    </w:pPr>
    <w:rPr>
      <w:rFonts w:eastAsia="黑体"/>
      <w:vanish/>
      <w:sz w:val="2"/>
    </w:rPr>
  </w:style>
  <w:style w:type="paragraph" w:customStyle="1" w:styleId="201">
    <w:name w:val="标准文件_引言一级条标题"/>
    <w:basedOn w:val="57"/>
    <w:next w:val="57"/>
    <w:qFormat/>
    <w:uiPriority w:val="0"/>
    <w:pPr>
      <w:numPr>
        <w:ilvl w:val="1"/>
        <w:numId w:val="8"/>
      </w:numPr>
      <w:spacing w:beforeLines="50" w:afterLines="50"/>
      <w:ind w:firstLineChars="0"/>
    </w:pPr>
    <w:rPr>
      <w:rFonts w:ascii="黑体" w:eastAsia="黑体"/>
    </w:rPr>
  </w:style>
  <w:style w:type="paragraph" w:customStyle="1" w:styleId="202">
    <w:name w:val="标准文件_引言二级条标题"/>
    <w:basedOn w:val="57"/>
    <w:next w:val="57"/>
    <w:qFormat/>
    <w:uiPriority w:val="0"/>
    <w:pPr>
      <w:numPr>
        <w:ilvl w:val="2"/>
        <w:numId w:val="8"/>
      </w:numPr>
      <w:spacing w:beforeLines="50" w:afterLines="50"/>
      <w:ind w:firstLineChars="0"/>
    </w:pPr>
    <w:rPr>
      <w:rFonts w:ascii="黑体" w:eastAsia="黑体"/>
    </w:rPr>
  </w:style>
  <w:style w:type="paragraph" w:customStyle="1" w:styleId="203">
    <w:name w:val="标准文件_引言三级条标题"/>
    <w:basedOn w:val="57"/>
    <w:next w:val="57"/>
    <w:qFormat/>
    <w:uiPriority w:val="0"/>
    <w:pPr>
      <w:numPr>
        <w:ilvl w:val="3"/>
        <w:numId w:val="8"/>
      </w:numPr>
      <w:spacing w:beforeLines="50" w:afterLines="50"/>
      <w:ind w:firstLineChars="0"/>
    </w:pPr>
    <w:rPr>
      <w:rFonts w:ascii="黑体" w:eastAsia="黑体"/>
    </w:rPr>
  </w:style>
  <w:style w:type="paragraph" w:customStyle="1" w:styleId="204">
    <w:name w:val="标准文件_引言四级条标题"/>
    <w:basedOn w:val="57"/>
    <w:next w:val="57"/>
    <w:qFormat/>
    <w:uiPriority w:val="0"/>
    <w:pPr>
      <w:numPr>
        <w:ilvl w:val="4"/>
        <w:numId w:val="8"/>
      </w:numPr>
      <w:spacing w:beforeLines="50" w:afterLines="50"/>
      <w:ind w:firstLineChars="0"/>
    </w:pPr>
    <w:rPr>
      <w:rFonts w:ascii="黑体" w:eastAsia="黑体"/>
    </w:rPr>
  </w:style>
  <w:style w:type="paragraph" w:customStyle="1" w:styleId="205">
    <w:name w:val="标准文件_引言五级条标题"/>
    <w:basedOn w:val="57"/>
    <w:next w:val="57"/>
    <w:qFormat/>
    <w:uiPriority w:val="0"/>
    <w:pPr>
      <w:numPr>
        <w:ilvl w:val="5"/>
        <w:numId w:val="8"/>
      </w:numPr>
      <w:spacing w:beforeLines="50" w:afterLines="50"/>
      <w:ind w:firstLineChars="0"/>
    </w:pPr>
    <w:rPr>
      <w:rFonts w:ascii="黑体" w:eastAsia="黑体"/>
    </w:rPr>
  </w:style>
  <w:style w:type="paragraph" w:customStyle="1" w:styleId="206">
    <w:name w:val="标准文件_注后"/>
    <w:basedOn w:val="57"/>
    <w:qFormat/>
    <w:uiPriority w:val="0"/>
    <w:pPr>
      <w:ind w:left="811" w:firstLine="0" w:firstLineChars="0"/>
    </w:pPr>
    <w:rPr>
      <w:sz w:val="18"/>
    </w:rPr>
  </w:style>
  <w:style w:type="paragraph" w:customStyle="1" w:styleId="207">
    <w:name w:val="标准文件_注X后"/>
    <w:basedOn w:val="57"/>
    <w:qFormat/>
    <w:uiPriority w:val="0"/>
    <w:pPr>
      <w:ind w:left="811" w:firstLine="0" w:firstLineChars="0"/>
    </w:pPr>
    <w:rPr>
      <w:sz w:val="18"/>
    </w:rPr>
  </w:style>
  <w:style w:type="paragraph" w:customStyle="1" w:styleId="208">
    <w:name w:val="标准文件_示例后"/>
    <w:basedOn w:val="57"/>
    <w:qFormat/>
    <w:uiPriority w:val="0"/>
    <w:pPr>
      <w:ind w:left="964" w:firstLine="0" w:firstLineChars="0"/>
    </w:pPr>
    <w:rPr>
      <w:sz w:val="18"/>
    </w:rPr>
  </w:style>
  <w:style w:type="paragraph" w:customStyle="1" w:styleId="209">
    <w:name w:val="标准文件_示例X后"/>
    <w:basedOn w:val="57"/>
    <w:link w:val="210"/>
    <w:qFormat/>
    <w:uiPriority w:val="0"/>
    <w:pPr>
      <w:ind w:left="1049" w:firstLine="0" w:firstLineChars="0"/>
    </w:pPr>
    <w:rPr>
      <w:sz w:val="18"/>
    </w:rPr>
  </w:style>
  <w:style w:type="character" w:customStyle="1" w:styleId="210">
    <w:name w:val="标准文件_示例X后 字符"/>
    <w:basedOn w:val="185"/>
    <w:link w:val="209"/>
    <w:qFormat/>
    <w:uiPriority w:val="0"/>
    <w:rPr>
      <w:rFonts w:ascii="宋体" w:hAnsi="Times New Roman"/>
      <w:sz w:val="18"/>
    </w:rPr>
  </w:style>
  <w:style w:type="paragraph" w:customStyle="1" w:styleId="211">
    <w:name w:val="标准文件_索引项"/>
    <w:basedOn w:val="57"/>
    <w:next w:val="57"/>
    <w:qFormat/>
    <w:uiPriority w:val="0"/>
    <w:pPr>
      <w:tabs>
        <w:tab w:val="right" w:leader="dot" w:pos="9356"/>
      </w:tabs>
      <w:ind w:left="210" w:hanging="210" w:firstLineChars="0"/>
      <w:jc w:val="left"/>
    </w:pPr>
  </w:style>
  <w:style w:type="paragraph" w:customStyle="1" w:styleId="212">
    <w:name w:val="标准文件_附录一级无标题"/>
    <w:basedOn w:val="79"/>
    <w:qFormat/>
    <w:uiPriority w:val="0"/>
    <w:pPr>
      <w:spacing w:beforeLines="0" w:afterLines="0" w:line="276" w:lineRule="auto"/>
      <w:outlineLvl w:val="9"/>
    </w:pPr>
    <w:rPr>
      <w:rFonts w:ascii="宋体" w:eastAsia="宋体"/>
    </w:rPr>
  </w:style>
  <w:style w:type="paragraph" w:customStyle="1" w:styleId="213">
    <w:name w:val="标准文件_附录二级无标题"/>
    <w:basedOn w:val="80"/>
    <w:qFormat/>
    <w:uiPriority w:val="0"/>
    <w:pPr>
      <w:spacing w:beforeLines="0" w:afterLines="0" w:line="276" w:lineRule="auto"/>
      <w:outlineLvl w:val="9"/>
    </w:pPr>
    <w:rPr>
      <w:rFonts w:ascii="宋体" w:eastAsia="宋体"/>
    </w:rPr>
  </w:style>
  <w:style w:type="paragraph" w:customStyle="1" w:styleId="214">
    <w:name w:val="标准文件_附录三级无标题"/>
    <w:basedOn w:val="82"/>
    <w:qFormat/>
    <w:uiPriority w:val="0"/>
    <w:pPr>
      <w:spacing w:beforeLines="0" w:afterLines="0" w:line="276" w:lineRule="auto"/>
      <w:outlineLvl w:val="9"/>
    </w:pPr>
    <w:rPr>
      <w:rFonts w:ascii="宋体" w:eastAsia="宋体"/>
    </w:rPr>
  </w:style>
  <w:style w:type="paragraph" w:customStyle="1" w:styleId="215">
    <w:name w:val="标准文件_附录四级无标题"/>
    <w:basedOn w:val="83"/>
    <w:qFormat/>
    <w:uiPriority w:val="0"/>
    <w:pPr>
      <w:spacing w:beforeLines="0" w:afterLines="0" w:line="276" w:lineRule="auto"/>
      <w:outlineLvl w:val="9"/>
    </w:pPr>
    <w:rPr>
      <w:rFonts w:ascii="宋体" w:eastAsia="宋体"/>
    </w:rPr>
  </w:style>
  <w:style w:type="paragraph" w:customStyle="1" w:styleId="216">
    <w:name w:val="标准文件_附录五级无标题"/>
    <w:basedOn w:val="85"/>
    <w:qFormat/>
    <w:uiPriority w:val="0"/>
    <w:pPr>
      <w:spacing w:beforeLines="0" w:afterLines="0" w:line="276" w:lineRule="auto"/>
      <w:outlineLvl w:val="9"/>
    </w:pPr>
    <w:rPr>
      <w:rFonts w:ascii="宋体" w:eastAsia="宋体"/>
    </w:rPr>
  </w:style>
  <w:style w:type="paragraph" w:customStyle="1" w:styleId="217">
    <w:name w:val="标准文件_引言一级无标题"/>
    <w:basedOn w:val="201"/>
    <w:next w:val="57"/>
    <w:qFormat/>
    <w:uiPriority w:val="0"/>
    <w:pPr>
      <w:spacing w:beforeLines="0" w:afterLines="0" w:line="276" w:lineRule="auto"/>
    </w:pPr>
    <w:rPr>
      <w:rFonts w:ascii="宋体" w:eastAsia="宋体"/>
    </w:rPr>
  </w:style>
  <w:style w:type="paragraph" w:customStyle="1" w:styleId="218">
    <w:name w:val="标准文件_引言二级无标题"/>
    <w:basedOn w:val="202"/>
    <w:next w:val="57"/>
    <w:qFormat/>
    <w:uiPriority w:val="0"/>
    <w:pPr>
      <w:spacing w:beforeLines="0" w:afterLines="0" w:line="276" w:lineRule="auto"/>
    </w:pPr>
    <w:rPr>
      <w:rFonts w:ascii="宋体" w:eastAsia="宋体"/>
    </w:rPr>
  </w:style>
  <w:style w:type="paragraph" w:customStyle="1" w:styleId="219">
    <w:name w:val="标准文件_引言三级无标题"/>
    <w:basedOn w:val="203"/>
    <w:qFormat/>
    <w:uiPriority w:val="0"/>
    <w:pPr>
      <w:spacing w:beforeLines="0" w:afterLines="0" w:line="276" w:lineRule="auto"/>
    </w:pPr>
    <w:rPr>
      <w:rFonts w:ascii="宋体" w:eastAsia="宋体"/>
    </w:rPr>
  </w:style>
  <w:style w:type="paragraph" w:customStyle="1" w:styleId="220">
    <w:name w:val="标准文件_引言四级无标题"/>
    <w:basedOn w:val="204"/>
    <w:next w:val="57"/>
    <w:qFormat/>
    <w:uiPriority w:val="0"/>
    <w:pPr>
      <w:spacing w:beforeLines="0" w:afterLines="0" w:line="276" w:lineRule="auto"/>
    </w:pPr>
    <w:rPr>
      <w:rFonts w:ascii="宋体" w:eastAsia="宋体"/>
    </w:rPr>
  </w:style>
  <w:style w:type="paragraph" w:customStyle="1" w:styleId="221">
    <w:name w:val="标准文件_引言五级无标题"/>
    <w:basedOn w:val="205"/>
    <w:next w:val="57"/>
    <w:qFormat/>
    <w:uiPriority w:val="0"/>
    <w:pPr>
      <w:spacing w:beforeLines="0" w:afterLines="0" w:line="276" w:lineRule="auto"/>
    </w:pPr>
    <w:rPr>
      <w:rFonts w:ascii="宋体" w:eastAsia="宋体"/>
    </w:rPr>
  </w:style>
  <w:style w:type="paragraph" w:customStyle="1" w:styleId="222">
    <w:name w:val="标准文件_索引标题"/>
    <w:basedOn w:val="64"/>
    <w:next w:val="57"/>
    <w:qFormat/>
    <w:uiPriority w:val="0"/>
    <w:rPr>
      <w:rFonts w:hAnsi="黑体"/>
    </w:rPr>
  </w:style>
  <w:style w:type="paragraph" w:customStyle="1" w:styleId="223">
    <w:name w:val="标准文件_脚注内容"/>
    <w:basedOn w:val="57"/>
    <w:qFormat/>
    <w:uiPriority w:val="0"/>
    <w:pPr>
      <w:ind w:left="400" w:leftChars="200" w:hanging="200" w:hangingChars="200"/>
    </w:pPr>
    <w:rPr>
      <w:sz w:val="15"/>
    </w:rPr>
  </w:style>
  <w:style w:type="paragraph" w:customStyle="1" w:styleId="224">
    <w:name w:val="标准文件_术语条一"/>
    <w:basedOn w:val="163"/>
    <w:next w:val="57"/>
    <w:qFormat/>
    <w:uiPriority w:val="0"/>
  </w:style>
  <w:style w:type="paragraph" w:customStyle="1" w:styleId="225">
    <w:name w:val="标准文件_术语条二"/>
    <w:basedOn w:val="166"/>
    <w:next w:val="57"/>
    <w:qFormat/>
    <w:uiPriority w:val="0"/>
  </w:style>
  <w:style w:type="paragraph" w:customStyle="1" w:styleId="226">
    <w:name w:val="标准文件_术语条三"/>
    <w:basedOn w:val="165"/>
    <w:next w:val="57"/>
    <w:qFormat/>
    <w:uiPriority w:val="0"/>
  </w:style>
  <w:style w:type="paragraph" w:customStyle="1" w:styleId="227">
    <w:name w:val="标准文件_术语条四"/>
    <w:basedOn w:val="168"/>
    <w:next w:val="57"/>
    <w:qFormat/>
    <w:uiPriority w:val="0"/>
  </w:style>
  <w:style w:type="paragraph" w:customStyle="1" w:styleId="228">
    <w:name w:val="标准文件_术语条五"/>
    <w:basedOn w:val="164"/>
    <w:next w:val="57"/>
    <w:qFormat/>
    <w:uiPriority w:val="0"/>
  </w:style>
  <w:style w:type="paragraph" w:customStyle="1" w:styleId="229">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30">
    <w:name w:val="发布"/>
    <w:basedOn w:val="27"/>
    <w:qFormat/>
    <w:uiPriority w:val="0"/>
    <w:rPr>
      <w:rFonts w:ascii="黑体" w:eastAsia="黑体"/>
      <w:spacing w:val="85"/>
      <w:w w:val="100"/>
      <w:position w:val="3"/>
      <w:sz w:val="28"/>
      <w:szCs w:val="28"/>
    </w:rPr>
  </w:style>
  <w:style w:type="paragraph" w:styleId="231">
    <w:name w:val="List Paragraph"/>
    <w:basedOn w:val="1"/>
    <w:qFormat/>
    <w:uiPriority w:val="34"/>
    <w:pPr>
      <w:adjustRightInd/>
      <w:spacing w:line="240" w:lineRule="auto"/>
      <w:ind w:firstLine="420" w:firstLineChars="200"/>
    </w:pPr>
    <w:rPr>
      <w:rFonts w:asciiTheme="minorHAnsi" w:hAnsiTheme="minorHAnsi" w:eastAsiaTheme="minorEastAsia" w:cstheme="minorBidi"/>
      <w:szCs w:val="22"/>
    </w:rPr>
  </w:style>
  <w:style w:type="table" w:customStyle="1" w:styleId="232">
    <w:name w:val="网格型1"/>
    <w:basedOn w:val="33"/>
    <w:qFormat/>
    <w:uiPriority w:val="39"/>
    <w:rPr>
      <w:rFonts w:asciiTheme="minorHAnsi" w:hAnsiTheme="minorHAnsi" w:eastAsiaTheme="minorEastAsia" w:cstheme="minorBid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233">
    <w:name w:val="网格型2"/>
    <w:basedOn w:val="33"/>
    <w:qFormat/>
    <w:uiPriority w:val="39"/>
    <w:rPr>
      <w:rFonts w:asciiTheme="minorHAnsi" w:hAnsiTheme="minorHAnsi" w:eastAsiaTheme="minorEastAsia" w:cstheme="minorBid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234">
    <w:name w:val="日期 Char"/>
    <w:basedOn w:val="27"/>
    <w:link w:val="16"/>
    <w:semiHidden/>
    <w:qFormat/>
    <w:uiPriority w:val="99"/>
    <w:rPr>
      <w:kern w:val="2"/>
      <w:sz w:val="21"/>
      <w:szCs w:val="21"/>
    </w:rPr>
  </w:style>
</w:styles>
</file>

<file path=word/_rels/document.xml.rels><?xml version="1.0" encoding="UTF-8" standalone="yes"?>
<Relationships xmlns="http://schemas.openxmlformats.org/package/2006/relationships"><Relationship Id="rId99" Type="http://schemas.openxmlformats.org/officeDocument/2006/relationships/image" Target="media/image43.wmf"/><Relationship Id="rId98" Type="http://schemas.openxmlformats.org/officeDocument/2006/relationships/oleObject" Target="embeddings/oleObject43.bin"/><Relationship Id="rId97" Type="http://schemas.openxmlformats.org/officeDocument/2006/relationships/image" Target="media/image42.wmf"/><Relationship Id="rId96" Type="http://schemas.openxmlformats.org/officeDocument/2006/relationships/oleObject" Target="embeddings/oleObject42.bin"/><Relationship Id="rId95" Type="http://schemas.openxmlformats.org/officeDocument/2006/relationships/image" Target="media/image41.wmf"/><Relationship Id="rId94" Type="http://schemas.openxmlformats.org/officeDocument/2006/relationships/oleObject" Target="embeddings/oleObject41.bin"/><Relationship Id="rId93" Type="http://schemas.openxmlformats.org/officeDocument/2006/relationships/image" Target="media/image40.wmf"/><Relationship Id="rId92" Type="http://schemas.openxmlformats.org/officeDocument/2006/relationships/oleObject" Target="embeddings/oleObject40.bin"/><Relationship Id="rId91" Type="http://schemas.openxmlformats.org/officeDocument/2006/relationships/image" Target="media/image39.wmf"/><Relationship Id="rId90" Type="http://schemas.openxmlformats.org/officeDocument/2006/relationships/oleObject" Target="embeddings/oleObject39.bin"/><Relationship Id="rId9" Type="http://schemas.openxmlformats.org/officeDocument/2006/relationships/header" Target="header4.xml"/><Relationship Id="rId89" Type="http://schemas.openxmlformats.org/officeDocument/2006/relationships/image" Target="media/image38.wmf"/><Relationship Id="rId88" Type="http://schemas.openxmlformats.org/officeDocument/2006/relationships/oleObject" Target="embeddings/oleObject38.bin"/><Relationship Id="rId87" Type="http://schemas.openxmlformats.org/officeDocument/2006/relationships/image" Target="media/image37.wmf"/><Relationship Id="rId86" Type="http://schemas.openxmlformats.org/officeDocument/2006/relationships/oleObject" Target="embeddings/oleObject37.bin"/><Relationship Id="rId85" Type="http://schemas.openxmlformats.org/officeDocument/2006/relationships/image" Target="media/image36.wmf"/><Relationship Id="rId84" Type="http://schemas.openxmlformats.org/officeDocument/2006/relationships/oleObject" Target="embeddings/oleObject36.bin"/><Relationship Id="rId83" Type="http://schemas.openxmlformats.org/officeDocument/2006/relationships/image" Target="media/image35.wmf"/><Relationship Id="rId82" Type="http://schemas.openxmlformats.org/officeDocument/2006/relationships/oleObject" Target="embeddings/oleObject35.bin"/><Relationship Id="rId81" Type="http://schemas.openxmlformats.org/officeDocument/2006/relationships/image" Target="media/image34.wmf"/><Relationship Id="rId80" Type="http://schemas.openxmlformats.org/officeDocument/2006/relationships/oleObject" Target="embeddings/oleObject34.bin"/><Relationship Id="rId8" Type="http://schemas.openxmlformats.org/officeDocument/2006/relationships/footer" Target="footer3.xml"/><Relationship Id="rId79" Type="http://schemas.openxmlformats.org/officeDocument/2006/relationships/image" Target="media/image33.wmf"/><Relationship Id="rId78" Type="http://schemas.openxmlformats.org/officeDocument/2006/relationships/oleObject" Target="embeddings/oleObject33.bin"/><Relationship Id="rId77" Type="http://schemas.openxmlformats.org/officeDocument/2006/relationships/image" Target="media/image32.wmf"/><Relationship Id="rId76" Type="http://schemas.openxmlformats.org/officeDocument/2006/relationships/oleObject" Target="embeddings/oleObject32.bin"/><Relationship Id="rId75" Type="http://schemas.openxmlformats.org/officeDocument/2006/relationships/image" Target="media/image31.wmf"/><Relationship Id="rId74" Type="http://schemas.openxmlformats.org/officeDocument/2006/relationships/oleObject" Target="embeddings/oleObject31.bin"/><Relationship Id="rId73" Type="http://schemas.openxmlformats.org/officeDocument/2006/relationships/image" Target="media/image30.wmf"/><Relationship Id="rId72" Type="http://schemas.openxmlformats.org/officeDocument/2006/relationships/oleObject" Target="embeddings/oleObject30.bin"/><Relationship Id="rId71" Type="http://schemas.openxmlformats.org/officeDocument/2006/relationships/image" Target="media/image29.wmf"/><Relationship Id="rId70" Type="http://schemas.openxmlformats.org/officeDocument/2006/relationships/oleObject" Target="embeddings/oleObject29.bin"/><Relationship Id="rId7" Type="http://schemas.openxmlformats.org/officeDocument/2006/relationships/footer" Target="footer2.xml"/><Relationship Id="rId69" Type="http://schemas.openxmlformats.org/officeDocument/2006/relationships/image" Target="media/image28.wmf"/><Relationship Id="rId68" Type="http://schemas.openxmlformats.org/officeDocument/2006/relationships/oleObject" Target="embeddings/oleObject28.bin"/><Relationship Id="rId67" Type="http://schemas.openxmlformats.org/officeDocument/2006/relationships/image" Target="media/image27.wmf"/><Relationship Id="rId66" Type="http://schemas.openxmlformats.org/officeDocument/2006/relationships/oleObject" Target="embeddings/oleObject27.bin"/><Relationship Id="rId65" Type="http://schemas.openxmlformats.org/officeDocument/2006/relationships/image" Target="media/image26.wmf"/><Relationship Id="rId64" Type="http://schemas.openxmlformats.org/officeDocument/2006/relationships/oleObject" Target="embeddings/oleObject26.bin"/><Relationship Id="rId63" Type="http://schemas.openxmlformats.org/officeDocument/2006/relationships/image" Target="media/image25.wmf"/><Relationship Id="rId62" Type="http://schemas.openxmlformats.org/officeDocument/2006/relationships/oleObject" Target="embeddings/oleObject25.bin"/><Relationship Id="rId61" Type="http://schemas.openxmlformats.org/officeDocument/2006/relationships/image" Target="media/image24.wmf"/><Relationship Id="rId60" Type="http://schemas.openxmlformats.org/officeDocument/2006/relationships/oleObject" Target="embeddings/oleObject24.bin"/><Relationship Id="rId6" Type="http://schemas.openxmlformats.org/officeDocument/2006/relationships/footer" Target="footer1.xml"/><Relationship Id="rId59" Type="http://schemas.openxmlformats.org/officeDocument/2006/relationships/image" Target="media/image23.wmf"/><Relationship Id="rId58" Type="http://schemas.openxmlformats.org/officeDocument/2006/relationships/oleObject" Target="embeddings/oleObject23.bin"/><Relationship Id="rId57" Type="http://schemas.openxmlformats.org/officeDocument/2006/relationships/image" Target="media/image22.wmf"/><Relationship Id="rId56" Type="http://schemas.openxmlformats.org/officeDocument/2006/relationships/oleObject" Target="embeddings/oleObject22.bin"/><Relationship Id="rId55" Type="http://schemas.openxmlformats.org/officeDocument/2006/relationships/image" Target="media/image21.wmf"/><Relationship Id="rId54" Type="http://schemas.openxmlformats.org/officeDocument/2006/relationships/oleObject" Target="embeddings/oleObject21.bin"/><Relationship Id="rId53" Type="http://schemas.openxmlformats.org/officeDocument/2006/relationships/image" Target="media/image20.wmf"/><Relationship Id="rId52" Type="http://schemas.openxmlformats.org/officeDocument/2006/relationships/oleObject" Target="embeddings/oleObject20.bin"/><Relationship Id="rId51" Type="http://schemas.openxmlformats.org/officeDocument/2006/relationships/image" Target="media/image19.wmf"/><Relationship Id="rId50" Type="http://schemas.openxmlformats.org/officeDocument/2006/relationships/oleObject" Target="embeddings/oleObject19.bin"/><Relationship Id="rId5" Type="http://schemas.openxmlformats.org/officeDocument/2006/relationships/header" Target="header3.xml"/><Relationship Id="rId49" Type="http://schemas.openxmlformats.org/officeDocument/2006/relationships/image" Target="media/image18.wmf"/><Relationship Id="rId48" Type="http://schemas.openxmlformats.org/officeDocument/2006/relationships/oleObject" Target="embeddings/oleObject18.bin"/><Relationship Id="rId47" Type="http://schemas.openxmlformats.org/officeDocument/2006/relationships/image" Target="media/image17.wmf"/><Relationship Id="rId46" Type="http://schemas.openxmlformats.org/officeDocument/2006/relationships/oleObject" Target="embeddings/oleObject17.bin"/><Relationship Id="rId45" Type="http://schemas.openxmlformats.org/officeDocument/2006/relationships/image" Target="media/image16.wmf"/><Relationship Id="rId44" Type="http://schemas.openxmlformats.org/officeDocument/2006/relationships/oleObject" Target="embeddings/oleObject16.bin"/><Relationship Id="rId43" Type="http://schemas.openxmlformats.org/officeDocument/2006/relationships/image" Target="media/image15.wmf"/><Relationship Id="rId42" Type="http://schemas.openxmlformats.org/officeDocument/2006/relationships/oleObject" Target="embeddings/oleObject15.bin"/><Relationship Id="rId41" Type="http://schemas.openxmlformats.org/officeDocument/2006/relationships/image" Target="media/image14.wmf"/><Relationship Id="rId40" Type="http://schemas.openxmlformats.org/officeDocument/2006/relationships/oleObject" Target="embeddings/oleObject14.bin"/><Relationship Id="rId4" Type="http://schemas.openxmlformats.org/officeDocument/2006/relationships/header" Target="header2.xml"/><Relationship Id="rId39" Type="http://schemas.openxmlformats.org/officeDocument/2006/relationships/image" Target="media/image13.wmf"/><Relationship Id="rId38" Type="http://schemas.openxmlformats.org/officeDocument/2006/relationships/oleObject" Target="embeddings/oleObject13.bin"/><Relationship Id="rId37" Type="http://schemas.openxmlformats.org/officeDocument/2006/relationships/image" Target="media/image12.wmf"/><Relationship Id="rId36" Type="http://schemas.openxmlformats.org/officeDocument/2006/relationships/oleObject" Target="embeddings/oleObject12.bin"/><Relationship Id="rId35" Type="http://schemas.openxmlformats.org/officeDocument/2006/relationships/image" Target="media/image11.wmf"/><Relationship Id="rId34" Type="http://schemas.openxmlformats.org/officeDocument/2006/relationships/oleObject" Target="embeddings/oleObject11.bin"/><Relationship Id="rId33" Type="http://schemas.openxmlformats.org/officeDocument/2006/relationships/image" Target="media/image10.wmf"/><Relationship Id="rId32" Type="http://schemas.openxmlformats.org/officeDocument/2006/relationships/oleObject" Target="embeddings/oleObject10.bin"/><Relationship Id="rId31" Type="http://schemas.openxmlformats.org/officeDocument/2006/relationships/image" Target="media/image9.wmf"/><Relationship Id="rId30" Type="http://schemas.openxmlformats.org/officeDocument/2006/relationships/oleObject" Target="embeddings/oleObject9.bin"/><Relationship Id="rId3" Type="http://schemas.openxmlformats.org/officeDocument/2006/relationships/header" Target="header1.xml"/><Relationship Id="rId29" Type="http://schemas.openxmlformats.org/officeDocument/2006/relationships/image" Target="media/image8.wmf"/><Relationship Id="rId28" Type="http://schemas.openxmlformats.org/officeDocument/2006/relationships/oleObject" Target="embeddings/oleObject8.bin"/><Relationship Id="rId27" Type="http://schemas.openxmlformats.org/officeDocument/2006/relationships/image" Target="media/image7.wmf"/><Relationship Id="rId26" Type="http://schemas.openxmlformats.org/officeDocument/2006/relationships/oleObject" Target="embeddings/oleObject7.bin"/><Relationship Id="rId25" Type="http://schemas.openxmlformats.org/officeDocument/2006/relationships/image" Target="media/image6.wmf"/><Relationship Id="rId24" Type="http://schemas.openxmlformats.org/officeDocument/2006/relationships/oleObject" Target="embeddings/oleObject6.bin"/><Relationship Id="rId23" Type="http://schemas.openxmlformats.org/officeDocument/2006/relationships/image" Target="media/image5.wmf"/><Relationship Id="rId22" Type="http://schemas.openxmlformats.org/officeDocument/2006/relationships/oleObject" Target="embeddings/oleObject5.bin"/><Relationship Id="rId21" Type="http://schemas.openxmlformats.org/officeDocument/2006/relationships/image" Target="media/image4.wmf"/><Relationship Id="rId20" Type="http://schemas.openxmlformats.org/officeDocument/2006/relationships/oleObject" Target="embeddings/oleObject4.bin"/><Relationship Id="rId2" Type="http://schemas.openxmlformats.org/officeDocument/2006/relationships/settings" Target="settings.xml"/><Relationship Id="rId19" Type="http://schemas.openxmlformats.org/officeDocument/2006/relationships/image" Target="media/image3.wmf"/><Relationship Id="rId18" Type="http://schemas.openxmlformats.org/officeDocument/2006/relationships/oleObject" Target="embeddings/oleObject3.bin"/><Relationship Id="rId17" Type="http://schemas.openxmlformats.org/officeDocument/2006/relationships/image" Target="media/image2.wmf"/><Relationship Id="rId16" Type="http://schemas.openxmlformats.org/officeDocument/2006/relationships/oleObject" Target="embeddings/oleObject2.bin"/><Relationship Id="rId15" Type="http://schemas.openxmlformats.org/officeDocument/2006/relationships/image" Target="media/image1.wmf"/><Relationship Id="rId14" Type="http://schemas.openxmlformats.org/officeDocument/2006/relationships/oleObject" Target="embeddings/oleObject1.bin"/><Relationship Id="rId13" Type="http://schemas.openxmlformats.org/officeDocument/2006/relationships/image" Target="media/image1.tiff"/><Relationship Id="rId122" Type="http://schemas.openxmlformats.org/officeDocument/2006/relationships/glossaryDocument" Target="glossary/document.xml"/><Relationship Id="rId121" Type="http://schemas.openxmlformats.org/officeDocument/2006/relationships/fontTable" Target="fontTable.xml"/><Relationship Id="rId120" Type="http://schemas.openxmlformats.org/officeDocument/2006/relationships/numbering" Target="numbering.xml"/><Relationship Id="rId12" Type="http://schemas.openxmlformats.org/officeDocument/2006/relationships/theme" Target="theme/theme1.xml"/><Relationship Id="rId119" Type="http://schemas.openxmlformats.org/officeDocument/2006/relationships/customXml" Target="../customXml/item1.xml"/><Relationship Id="rId118" Type="http://schemas.openxmlformats.org/officeDocument/2006/relationships/image" Target="media/image53.jpeg"/><Relationship Id="rId117" Type="http://schemas.openxmlformats.org/officeDocument/2006/relationships/image" Target="media/image52.wmf"/><Relationship Id="rId116" Type="http://schemas.openxmlformats.org/officeDocument/2006/relationships/oleObject" Target="embeddings/oleObject52.bin"/><Relationship Id="rId115" Type="http://schemas.openxmlformats.org/officeDocument/2006/relationships/image" Target="media/image51.wmf"/><Relationship Id="rId114" Type="http://schemas.openxmlformats.org/officeDocument/2006/relationships/oleObject" Target="embeddings/oleObject51.bin"/><Relationship Id="rId113" Type="http://schemas.openxmlformats.org/officeDocument/2006/relationships/image" Target="media/image50.wmf"/><Relationship Id="rId112" Type="http://schemas.openxmlformats.org/officeDocument/2006/relationships/oleObject" Target="embeddings/oleObject50.bin"/><Relationship Id="rId111" Type="http://schemas.openxmlformats.org/officeDocument/2006/relationships/image" Target="media/image49.wmf"/><Relationship Id="rId110" Type="http://schemas.openxmlformats.org/officeDocument/2006/relationships/oleObject" Target="embeddings/oleObject49.bin"/><Relationship Id="rId11" Type="http://schemas.openxmlformats.org/officeDocument/2006/relationships/footer" Target="footer4.xml"/><Relationship Id="rId109" Type="http://schemas.openxmlformats.org/officeDocument/2006/relationships/image" Target="media/image48.wmf"/><Relationship Id="rId108" Type="http://schemas.openxmlformats.org/officeDocument/2006/relationships/oleObject" Target="embeddings/oleObject48.bin"/><Relationship Id="rId107" Type="http://schemas.openxmlformats.org/officeDocument/2006/relationships/image" Target="media/image47.wmf"/><Relationship Id="rId106" Type="http://schemas.openxmlformats.org/officeDocument/2006/relationships/oleObject" Target="embeddings/oleObject47.bin"/><Relationship Id="rId105" Type="http://schemas.openxmlformats.org/officeDocument/2006/relationships/image" Target="media/image46.wmf"/><Relationship Id="rId104" Type="http://schemas.openxmlformats.org/officeDocument/2006/relationships/oleObject" Target="embeddings/oleObject46.bin"/><Relationship Id="rId103" Type="http://schemas.openxmlformats.org/officeDocument/2006/relationships/image" Target="media/image45.wmf"/><Relationship Id="rId102" Type="http://schemas.openxmlformats.org/officeDocument/2006/relationships/oleObject" Target="embeddings/oleObject45.bin"/><Relationship Id="rId101" Type="http://schemas.openxmlformats.org/officeDocument/2006/relationships/image" Target="media/image44.wmf"/><Relationship Id="rId100" Type="http://schemas.openxmlformats.org/officeDocument/2006/relationships/oleObject" Target="embeddings/oleObject44.bin"/><Relationship Id="rId10" Type="http://schemas.openxmlformats.org/officeDocument/2006/relationships/header" Target="header5.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user/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7607D26D1A1A4AE7A9A9FAD727AF76BD"/>
        <w:style w:val=""/>
        <w:category>
          <w:name w:val="常规"/>
          <w:gallery w:val="placeholder"/>
        </w:category>
        <w:types>
          <w:type w:val="bbPlcHdr"/>
        </w:types>
        <w:behaviors>
          <w:behavior w:val="content"/>
        </w:behaviors>
        <w:description w:val=""/>
        <w:guid w:val="{2595C685-1314-4F04-85BA-A39BD657D8F3}"/>
      </w:docPartPr>
      <w:docPartBody>
        <w:p>
          <w:pPr>
            <w:pStyle w:val="5"/>
          </w:pPr>
          <w:r>
            <w:rPr>
              <w:rStyle w:val="4"/>
              <w:rFonts w:hint="eastAsia"/>
            </w:rPr>
            <w:t>单击或点击此处输入文字。</w:t>
          </w:r>
        </w:p>
      </w:docPartBody>
    </w:docPart>
    <w:docPart>
      <w:docPartPr>
        <w:name w:val="3E6C4C4FB3D94F399F7F173ADC1BD1DE"/>
        <w:style w:val=""/>
        <w:category>
          <w:name w:val="常规"/>
          <w:gallery w:val="placeholder"/>
        </w:category>
        <w:types>
          <w:type w:val="bbPlcHdr"/>
        </w:types>
        <w:behaviors>
          <w:behavior w:val="content"/>
        </w:behaviors>
        <w:description w:val=""/>
        <w:guid w:val="{F809CEEA-8E9A-4581-B6A5-38EAF1CF7B33}"/>
      </w:docPartPr>
      <w:docPartBody>
        <w:p>
          <w:pPr>
            <w:pStyle w:val="6"/>
          </w:pPr>
          <w:r>
            <w:rPr>
              <w:rStyle w:val="4"/>
              <w:rFonts w:hint="eastAsia"/>
            </w:rPr>
            <w:t>选择一项。</w:t>
          </w:r>
        </w:p>
      </w:docPartBody>
    </w:docPart>
    <w:docPart>
      <w:docPartPr>
        <w:name w:val="C510FBF903FE4EFCBC5ECB4E6936981D"/>
        <w:style w:val=""/>
        <w:category>
          <w:name w:val="常规"/>
          <w:gallery w:val="placeholder"/>
        </w:category>
        <w:types>
          <w:type w:val="bbPlcHdr"/>
        </w:types>
        <w:behaviors>
          <w:behavior w:val="content"/>
        </w:behaviors>
        <w:description w:val=""/>
        <w:guid w:val="{C9CEB39C-D4EE-483C-BD84-0158A9F55656}"/>
      </w:docPartPr>
      <w:docPartBody>
        <w:p>
          <w:pPr>
            <w:pStyle w:val="7"/>
          </w:pPr>
          <w:r>
            <w:rPr>
              <w:rStyle w:val="4"/>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panose1 w:val="020B0603030804020204"/>
    <w:charset w:val="00"/>
    <w:family w:val="roman"/>
    <w:pitch w:val="default"/>
    <w:sig w:usb0="E7006EFF" w:usb1="D200FDFF" w:usb2="0A246029" w:usb3="0400200C" w:csb0="600001FF" w:csb1="DFFF0000"/>
  </w:font>
  <w:font w:name="方正书宋_GBK">
    <w:altName w:val="方正宋体S-超大字符集"/>
    <w:panose1 w:val="02000000000000000000"/>
    <w:charset w:val="86"/>
    <w:family w:val="auto"/>
    <w:pitch w:val="default"/>
    <w:sig w:usb0="00000001" w:usb1="08000000" w:usb2="00000000" w:usb3="00000000" w:csb0="00040000" w:csb1="00000000"/>
  </w:font>
  <w:font w:name="方正黑体_GBK">
    <w:altName w:val="思源黑体 CN"/>
    <w:panose1 w:val="02000000000000000000"/>
    <w:charset w:val="00"/>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方正宋体S-超大字符集">
    <w:panose1 w:val="02000000000000000000"/>
    <w:charset w:val="86"/>
    <w:family w:val="auto"/>
    <w:pitch w:val="default"/>
    <w:sig w:usb0="00000001" w:usb1="08000000" w:usb2="00000000" w:usb3="00000000" w:csb0="00040000" w:csb1="00000000"/>
  </w:font>
  <w:font w:name="思源黑体 CN">
    <w:panose1 w:val="020B0600000000000000"/>
    <w:charset w:val="86"/>
    <w:family w:val="auto"/>
    <w:pitch w:val="default"/>
    <w:sig w:usb0="20000003" w:usb1="2ADF3C10" w:usb2="00000016" w:usb3="00000000" w:csb0="60060107" w:csb1="00000000"/>
  </w:font>
  <w:font w:name="等线">
    <w:altName w:val="仿宋"/>
    <w:panose1 w:val="00000000000000000000"/>
    <w:charset w:val="86"/>
    <w:family w:val="auto"/>
    <w:pitch w:val="default"/>
    <w:sig w:usb0="00000000" w:usb1="00000000" w:usb2="00000000" w:usb3="00000000" w:csb0="00000000" w:csb1="00000000"/>
  </w:font>
  <w:font w:name="等线">
    <w:altName w:val="仿宋"/>
    <w:panose1 w:val="00000000000000000000"/>
    <w:charset w:val="86"/>
    <w:family w:val="auto"/>
    <w:pitch w:val="default"/>
    <w:sig w:usb0="00000000" w:usb1="00000000" w:usb2="00000000" w:usb3="00000000" w:csb0="00000000" w:csb1="00000000"/>
  </w:font>
  <w:font w:name="等线">
    <w:altName w:val="仿宋"/>
    <w:panose1 w:val="00000000000000000000"/>
    <w:charset w:val="00"/>
    <w:family w:val="auto"/>
    <w:pitch w:val="default"/>
    <w:sig w:usb0="00000000" w:usb1="00000000" w:usb2="00000000" w:usb3="00000000" w:csb0="0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
  <w:rsids>
    <w:rsidRoot w:val="000107C1"/>
    <w:rsid w:val="000107C1"/>
    <w:rsid w:val="00057647"/>
    <w:rsid w:val="00092792"/>
    <w:rsid w:val="000A2BCF"/>
    <w:rsid w:val="000A3D79"/>
    <w:rsid w:val="000B2068"/>
    <w:rsid w:val="001C4D71"/>
    <w:rsid w:val="0022076C"/>
    <w:rsid w:val="00251CA8"/>
    <w:rsid w:val="002D5F4C"/>
    <w:rsid w:val="00375898"/>
    <w:rsid w:val="0038277E"/>
    <w:rsid w:val="003C61F4"/>
    <w:rsid w:val="003F189D"/>
    <w:rsid w:val="0045229E"/>
    <w:rsid w:val="004C083C"/>
    <w:rsid w:val="00600960"/>
    <w:rsid w:val="00636F2B"/>
    <w:rsid w:val="006A585D"/>
    <w:rsid w:val="007075C3"/>
    <w:rsid w:val="0073367D"/>
    <w:rsid w:val="007517A7"/>
    <w:rsid w:val="007B139B"/>
    <w:rsid w:val="008407AA"/>
    <w:rsid w:val="00845F78"/>
    <w:rsid w:val="009358A6"/>
    <w:rsid w:val="009F43A2"/>
    <w:rsid w:val="00A54A2C"/>
    <w:rsid w:val="00A72248"/>
    <w:rsid w:val="00AA178F"/>
    <w:rsid w:val="00B00DB3"/>
    <w:rsid w:val="00B10B10"/>
    <w:rsid w:val="00B27B3C"/>
    <w:rsid w:val="00BF05C2"/>
    <w:rsid w:val="00C43A47"/>
    <w:rsid w:val="00C71BD9"/>
    <w:rsid w:val="00CC5391"/>
    <w:rsid w:val="00D240DF"/>
    <w:rsid w:val="00D43C07"/>
    <w:rsid w:val="00D43CCC"/>
    <w:rsid w:val="00D65383"/>
    <w:rsid w:val="00D8131D"/>
    <w:rsid w:val="00E45647"/>
    <w:rsid w:val="00FE263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7607D26D1A1A4AE7A9A9FAD727AF76BD"/>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3E6C4C4FB3D94F399F7F173ADC1BD1D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7">
    <w:name w:val="C510FBF903FE4EFCBC5ECB4E6936981D"/>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8FAFD"/>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地方标准.dotx</Template>
  <Company>PCMI</Company>
  <Pages>19</Pages>
  <Words>1741</Words>
  <Characters>9928</Characters>
  <Lines>82</Lines>
  <Paragraphs>23</Paragraphs>
  <TotalTime>518</TotalTime>
  <ScaleCrop>false</ScaleCrop>
  <LinksUpToDate>false</LinksUpToDate>
  <CharactersWithSpaces>11646</CharactersWithSpaces>
  <Application>WPS Office_10.8.0.7178_F1E327BC-269C-435d-A152-05C5408002CA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2022-08-18T14:30:00Z</dcterms:created>
  <dc:creator>乔银环</dc:creator>
  <dc:description>&lt;config cover="true" show_menu="true" version="1.0.0" doctype="SDKXY"&gt;_x000d_
&lt;/config&gt;</dc:description>
  <cp:lastModifiedBy>user</cp:lastModifiedBy>
  <cp:lastPrinted>2022-03-18T12:26:00Z</cp:lastPrinted>
  <dcterms:modified xsi:type="dcterms:W3CDTF">2022-08-19T17:37:21Z</dcterms:modified>
  <dc:title>地方标准</dc:title>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KSOProductBuildVer">
    <vt:lpwstr>2052-10.8.0.7178</vt:lpwstr>
  </property>
</Properties>
</file>