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line="240" w:lineRule="atLeast"/>
        <w:jc w:val="center"/>
        <w:rPr>
          <w:rFonts w:ascii="方正小标宋_GBK" w:hAnsi="华文中宋" w:eastAsia="方正小标宋_GBK"/>
          <w:color w:val="FF0000"/>
          <w:spacing w:val="50"/>
          <w:sz w:val="72"/>
          <w:szCs w:val="72"/>
        </w:rPr>
      </w:pPr>
      <w:r>
        <w:rPr>
          <w:rFonts w:hint="eastAsia" w:ascii="方正小标宋_GBK" w:hAnsi="华文中宋" w:eastAsia="方正小标宋_GBK"/>
          <w:color w:val="FF0000"/>
          <w:spacing w:val="5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866775</wp:posOffset>
                </wp:positionH>
                <wp:positionV relativeFrom="paragraph">
                  <wp:posOffset>676275</wp:posOffset>
                </wp:positionV>
                <wp:extent cx="5781675" cy="0"/>
                <wp:effectExtent l="0" t="28575" r="9525" b="28575"/>
                <wp:wrapNone/>
                <wp:docPr id="1" name="任意多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781675" cy="0"/>
                        </a:xfrm>
                        <a:custGeom>
                          <a:avLst/>
                          <a:gdLst>
                            <a:gd name="T0" fmla="*/ 0 w 9105"/>
                            <a:gd name="T1" fmla="*/ 0 h 1"/>
                            <a:gd name="T2" fmla="*/ 9105 w 9105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105" h="1">
                              <a:moveTo>
                                <a:pt x="0" y="0"/>
                              </a:moveTo>
                              <a:lnTo>
                                <a:pt x="9105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57150" cmpd="thickThin">
                          <a:solidFill>
                            <a:srgbClr val="FF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68.25pt;margin-top:53.25pt;height:0pt;width:455.25pt;mso-position-horizontal-relative:page;z-index:251660288;mso-width-relative:page;mso-height-relative:page;" fillcolor="#FFFFFF" filled="t" stroked="t" coordsize="9105,1" o:gfxdata="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" path="m0,0l9105,0e">
                <v:path o:connectlocs="0,0;5781675,0" o:connectangles="0,0"/>
                <v:fill on="t" focussize="0,0"/>
                <v:stroke weight="4.5pt" color="#FF0000" linestyle="thickThin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方正小标宋_GBK" w:hAnsi="华文中宋" w:eastAsia="方正小标宋_GBK"/>
          <w:color w:val="FF0000"/>
          <w:spacing w:val="50"/>
          <w:sz w:val="72"/>
          <w:szCs w:val="72"/>
        </w:rPr>
        <w:t>青岛市市场监督管理局</w:t>
      </w:r>
    </w:p>
    <w:p>
      <w:pPr>
        <w:spacing w:line="560" w:lineRule="exact"/>
        <w:jc w:val="both"/>
        <w:rPr>
          <w:rFonts w:hint="eastAsia" w:ascii="方正小标宋_GBK" w:eastAsia="方正小标宋_GBK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eastAsia="方正小标宋_GBK"/>
          <w:sz w:val="44"/>
          <w:szCs w:val="44"/>
        </w:rPr>
      </w:pPr>
      <w:r>
        <w:rPr>
          <w:rFonts w:hint="eastAsia" w:ascii="方正小标宋_GBK" w:eastAsia="方正小标宋_GBK"/>
          <w:sz w:val="44"/>
          <w:szCs w:val="44"/>
        </w:rPr>
        <w:t>青岛市市场监督管理局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eastAsia="方正小标宋_GBK"/>
          <w:sz w:val="44"/>
          <w:szCs w:val="44"/>
        </w:rPr>
      </w:pPr>
      <w:r>
        <w:rPr>
          <w:rFonts w:hint="eastAsia" w:ascii="方正小标宋_GBK" w:eastAsia="方正小标宋_GBK"/>
          <w:sz w:val="44"/>
          <w:szCs w:val="44"/>
          <w:lang w:val="en-US" w:eastAsia="zh-CN"/>
        </w:rPr>
        <w:t>关于</w:t>
      </w:r>
      <w:r>
        <w:rPr>
          <w:rFonts w:hint="eastAsia" w:ascii="方正小标宋_GBK" w:eastAsia="方正小标宋_GBK"/>
          <w:sz w:val="44"/>
          <w:szCs w:val="44"/>
        </w:rPr>
        <w:t>202</w:t>
      </w:r>
      <w:r>
        <w:rPr>
          <w:rFonts w:hint="eastAsia" w:ascii="方正小标宋_GBK" w:eastAsia="方正小标宋_GBK"/>
          <w:sz w:val="44"/>
          <w:szCs w:val="44"/>
          <w:lang w:val="en-US" w:eastAsia="zh-CN"/>
        </w:rPr>
        <w:t>2</w:t>
      </w:r>
      <w:r>
        <w:rPr>
          <w:rFonts w:hint="eastAsia" w:ascii="方正小标宋_GBK" w:eastAsia="方正小标宋_GBK"/>
          <w:sz w:val="44"/>
          <w:szCs w:val="44"/>
        </w:rPr>
        <w:t>年青岛市地方标准</w:t>
      </w:r>
      <w:r>
        <w:rPr>
          <w:rFonts w:hint="eastAsia" w:ascii="方正小标宋_GBK" w:eastAsia="方正小标宋_GBK"/>
          <w:sz w:val="44"/>
          <w:szCs w:val="44"/>
          <w:lang w:eastAsia="zh-CN"/>
        </w:rPr>
        <w:t>（</w:t>
      </w:r>
      <w:r>
        <w:rPr>
          <w:rFonts w:hint="eastAsia" w:ascii="方正小标宋_GBK" w:eastAsia="方正小标宋_GBK"/>
          <w:sz w:val="44"/>
          <w:szCs w:val="44"/>
          <w:lang w:val="en-US" w:eastAsia="zh-CN"/>
        </w:rPr>
        <w:t>规范）</w:t>
      </w:r>
      <w:r>
        <w:rPr>
          <w:rFonts w:hint="eastAsia" w:ascii="方正小标宋_GBK" w:eastAsia="方正小标宋_GBK"/>
          <w:sz w:val="44"/>
          <w:szCs w:val="44"/>
        </w:rPr>
        <w:t>拟立项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eastAsia="方正小标宋_GBK"/>
          <w:sz w:val="44"/>
          <w:szCs w:val="44"/>
        </w:rPr>
      </w:pPr>
      <w:r>
        <w:rPr>
          <w:rFonts w:hint="eastAsia" w:ascii="方正小标宋_GBK" w:eastAsia="方正小标宋_GBK"/>
          <w:sz w:val="44"/>
          <w:szCs w:val="44"/>
        </w:rPr>
        <w:t>项目</w:t>
      </w:r>
      <w:r>
        <w:rPr>
          <w:rFonts w:hint="eastAsia" w:ascii="方正小标宋_GBK" w:eastAsia="方正小标宋_GBK"/>
          <w:sz w:val="44"/>
          <w:szCs w:val="44"/>
          <w:lang w:eastAsia="zh-CN"/>
        </w:rPr>
        <w:t>（</w:t>
      </w:r>
      <w:r>
        <w:rPr>
          <w:rFonts w:hint="eastAsia" w:ascii="方正小标宋_GBK" w:eastAsia="方正小标宋_GBK"/>
          <w:sz w:val="44"/>
          <w:szCs w:val="44"/>
          <w:lang w:val="en-US" w:eastAsia="zh-CN"/>
        </w:rPr>
        <w:t>第三批</w:t>
      </w:r>
      <w:r>
        <w:rPr>
          <w:rFonts w:hint="eastAsia" w:ascii="方正小标宋_GBK" w:eastAsia="方正小标宋_GBK"/>
          <w:sz w:val="44"/>
          <w:szCs w:val="44"/>
          <w:lang w:eastAsia="zh-CN"/>
        </w:rPr>
        <w:t>）</w:t>
      </w:r>
      <w:r>
        <w:rPr>
          <w:rFonts w:hint="eastAsia" w:ascii="方正小标宋_GBK" w:eastAsia="方正小标宋_GBK"/>
          <w:sz w:val="44"/>
          <w:szCs w:val="44"/>
        </w:rPr>
        <w:t>征求意见的通知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bCs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left="0" w:leftChars="0"/>
        <w:jc w:val="both"/>
        <w:textAlignment w:val="auto"/>
        <w:rPr>
          <w:rFonts w:hint="default" w:ascii="Times New Roman" w:hAnsi="Times New Roman" w:eastAsia="仿宋_GB2312" w:cs="Times New Roman"/>
          <w:bCs/>
          <w:color w:val="000000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bCs/>
          <w:color w:val="000000"/>
          <w:sz w:val="32"/>
          <w:szCs w:val="32"/>
          <w:highlight w:val="none"/>
        </w:rPr>
        <w:t>各有关单位：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  <w:highlight w:val="none"/>
          <w:u w:val="none"/>
        </w:rPr>
      </w:pPr>
      <w:r>
        <w:rPr>
          <w:rFonts w:hint="default" w:ascii="Times New Roman" w:hAnsi="Times New Roman" w:eastAsia="仿宋_GB2312" w:cs="Times New Roman"/>
          <w:bCs/>
          <w:color w:val="000000"/>
          <w:sz w:val="32"/>
          <w:szCs w:val="32"/>
          <w:highlight w:val="none"/>
          <w:lang w:val="en-US" w:eastAsia="zh-CN"/>
        </w:rPr>
        <w:t>根据《青岛市地方标准管理办法》有关规定，现对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202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2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年青岛市地方标准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规范）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拟立项项目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（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第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三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批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）（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附件1）</w:t>
      </w:r>
      <w:r>
        <w:rPr>
          <w:rFonts w:hint="default" w:ascii="Times New Roman" w:hAnsi="Times New Roman" w:eastAsia="仿宋_GB2312" w:cs="Times New Roman"/>
          <w:bCs/>
          <w:color w:val="000000"/>
          <w:sz w:val="32"/>
          <w:szCs w:val="32"/>
          <w:highlight w:val="none"/>
          <w:lang w:val="en-US" w:eastAsia="zh-CN"/>
        </w:rPr>
        <w:t>公开征求</w:t>
      </w:r>
      <w:r>
        <w:rPr>
          <w:rFonts w:hint="default" w:ascii="Times New Roman" w:hAnsi="Times New Roman" w:eastAsia="仿宋_GB2312" w:cs="Times New Roman"/>
          <w:bCs/>
          <w:color w:val="000000"/>
          <w:sz w:val="32"/>
          <w:szCs w:val="32"/>
          <w:highlight w:val="none"/>
        </w:rPr>
        <w:t>意见。</w:t>
      </w:r>
      <w:r>
        <w:rPr>
          <w:rFonts w:hint="default" w:ascii="Times New Roman" w:hAnsi="Times New Roman" w:eastAsia="仿宋_GB2312" w:cs="Times New Roman"/>
          <w:bCs/>
          <w:color w:val="000000"/>
          <w:sz w:val="32"/>
          <w:szCs w:val="32"/>
          <w:highlight w:val="none"/>
          <w:lang w:val="en-US" w:eastAsia="zh-CN"/>
        </w:rPr>
        <w:t>如对项目有意见或建议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请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填写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《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地方标准立项意见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表》（附件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2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）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于202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2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年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8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月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18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日前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反馈至</w:t>
      </w:r>
      <w:r>
        <w:rPr>
          <w:rFonts w:hint="default" w:ascii="Times New Roman" w:hAnsi="Times New Roman" w:eastAsia="仿宋_GB2312" w:cs="Times New Roman"/>
          <w:bCs/>
          <w:color w:val="000000"/>
          <w:sz w:val="32"/>
          <w:szCs w:val="32"/>
          <w:highlight w:val="none"/>
        </w:rPr>
        <w:t>市市场监管局标准化处邮箱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  <w:highlight w:val="none"/>
          <w:u w:val="none"/>
        </w:rPr>
        <w:fldChar w:fldCharType="begin"/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  <w:highlight w:val="none"/>
          <w:u w:val="none"/>
        </w:rPr>
        <w:instrText xml:space="preserve"> HYPERLINK "mailto:qingdaobzc@163.com。" </w:instrTex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  <w:highlight w:val="none"/>
          <w:u w:val="none"/>
        </w:rPr>
        <w:fldChar w:fldCharType="separate"/>
      </w:r>
      <w:r>
        <w:rPr>
          <w:rFonts w:hint="default" w:ascii="Times New Roman" w:hAnsi="Times New Roman" w:eastAsia="仿宋_GB2312" w:cs="Times New Roman"/>
          <w:bCs/>
          <w:color w:val="000000"/>
          <w:sz w:val="32"/>
          <w:szCs w:val="32"/>
          <w:highlight w:val="none"/>
        </w:rPr>
        <w:t>bz</w:t>
      </w:r>
      <w:r>
        <w:rPr>
          <w:rFonts w:hint="default" w:ascii="Times New Roman" w:hAnsi="Times New Roman" w:eastAsia="仿宋_GB2312" w:cs="Times New Roman"/>
          <w:bCs/>
          <w:color w:val="000000"/>
          <w:sz w:val="32"/>
          <w:szCs w:val="32"/>
          <w:highlight w:val="none"/>
          <w:lang w:val="en-US" w:eastAsia="zh-CN"/>
        </w:rPr>
        <w:t>hc</w:t>
      </w:r>
      <w:r>
        <w:rPr>
          <w:rFonts w:hint="default" w:ascii="Times New Roman" w:hAnsi="Times New Roman" w:eastAsia="仿宋_GB2312" w:cs="Times New Roman"/>
          <w:bCs/>
          <w:color w:val="000000"/>
          <w:sz w:val="32"/>
          <w:szCs w:val="32"/>
          <w:highlight w:val="none"/>
        </w:rPr>
        <w:t>@</w:t>
      </w:r>
      <w:r>
        <w:rPr>
          <w:rFonts w:hint="default" w:ascii="Times New Roman" w:hAnsi="Times New Roman" w:eastAsia="仿宋_GB2312" w:cs="Times New Roman"/>
          <w:bCs/>
          <w:color w:val="000000"/>
          <w:sz w:val="32"/>
          <w:szCs w:val="32"/>
          <w:highlight w:val="none"/>
          <w:lang w:val="en-US" w:eastAsia="zh-CN"/>
        </w:rPr>
        <w:t>qd.shandong.cn</w:t>
      </w:r>
      <w:r>
        <w:rPr>
          <w:rStyle w:val="10"/>
          <w:rFonts w:hint="default" w:ascii="Times New Roman" w:hAnsi="Times New Roman" w:eastAsia="仿宋_GB2312" w:cs="Times New Roman"/>
          <w:bCs/>
          <w:color w:val="auto"/>
          <w:sz w:val="32"/>
          <w:szCs w:val="32"/>
          <w:highlight w:val="none"/>
          <w:u w:val="none"/>
        </w:rPr>
        <w:t>。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  <w:highlight w:val="none"/>
          <w:u w:val="none"/>
        </w:rPr>
        <w:fldChar w:fldCharType="end"/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bCs/>
          <w:color w:val="000000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left="1598" w:leftChars="304" w:hanging="960" w:hangingChars="3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附件：1.202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2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年青岛市地方标准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规范）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拟立项项目名单（第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三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批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left="0" w:leftChars="0" w:firstLine="1600" w:firstLineChars="5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2.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地方标准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规范）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立项意见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表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left="0" w:leftChars="0" w:firstLine="568" w:firstLineChars="200"/>
        <w:jc w:val="both"/>
        <w:textAlignment w:val="auto"/>
        <w:rPr>
          <w:rFonts w:hint="default" w:ascii="Times New Roman" w:hAnsi="Times New Roman" w:eastAsia="仿宋_GB2312" w:cs="Times New Roman"/>
          <w:spacing w:val="-18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bCs/>
          <w:color w:val="000000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bCs/>
          <w:color w:val="000000"/>
          <w:sz w:val="32"/>
          <w:szCs w:val="32"/>
          <w:highlight w:val="none"/>
        </w:rPr>
        <w:t xml:space="preserve"> </w:t>
      </w:r>
      <w:r>
        <w:rPr>
          <w:rFonts w:hint="default" w:ascii="Times New Roman" w:hAnsi="Times New Roman" w:eastAsia="仿宋_GB2312" w:cs="Times New Roman"/>
          <w:bCs/>
          <w:color w:val="000000"/>
          <w:sz w:val="32"/>
          <w:szCs w:val="32"/>
          <w:highlight w:val="none"/>
          <w:lang w:val="en-US" w:eastAsia="zh-CN"/>
        </w:rPr>
        <w:t xml:space="preserve">                          </w:t>
      </w:r>
      <w:r>
        <w:rPr>
          <w:rFonts w:hint="default" w:ascii="Times New Roman" w:hAnsi="Times New Roman" w:eastAsia="仿宋_GB2312" w:cs="Times New Roman"/>
          <w:bCs/>
          <w:color w:val="000000"/>
          <w:sz w:val="32"/>
          <w:szCs w:val="32"/>
          <w:highlight w:val="none"/>
        </w:rPr>
        <w:t>青岛市市场监督管理局</w:t>
      </w:r>
      <w:r>
        <w:rPr>
          <w:rFonts w:hint="default" w:ascii="Times New Roman" w:hAnsi="Times New Roman" w:eastAsia="仿宋_GB2312" w:cs="Times New Roman"/>
          <w:bCs/>
          <w:color w:val="000000"/>
          <w:sz w:val="32"/>
          <w:szCs w:val="32"/>
          <w:highlight w:val="none"/>
          <w:lang w:val="en-US" w:eastAsia="zh-CN"/>
        </w:rPr>
        <w:t xml:space="preserve">    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bCs/>
          <w:color w:val="000000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bCs/>
          <w:color w:val="000000"/>
          <w:sz w:val="32"/>
          <w:szCs w:val="32"/>
          <w:highlight w:val="none"/>
        </w:rPr>
        <w:t xml:space="preserve">                       </w:t>
      </w:r>
      <w:r>
        <w:rPr>
          <w:rFonts w:hint="default" w:ascii="Times New Roman" w:hAnsi="Times New Roman" w:eastAsia="仿宋_GB2312" w:cs="Times New Roman"/>
          <w:bCs/>
          <w:color w:val="000000"/>
          <w:sz w:val="32"/>
          <w:szCs w:val="32"/>
          <w:highlight w:val="none"/>
          <w:lang w:val="en-US" w:eastAsia="zh-CN"/>
        </w:rPr>
        <w:t xml:space="preserve">       </w:t>
      </w:r>
      <w:r>
        <w:rPr>
          <w:rFonts w:hint="default" w:ascii="Times New Roman" w:hAnsi="Times New Roman" w:eastAsia="仿宋_GB2312" w:cs="Times New Roman"/>
          <w:bCs/>
          <w:color w:val="000000"/>
          <w:sz w:val="32"/>
          <w:szCs w:val="32"/>
          <w:highlight w:val="none"/>
        </w:rPr>
        <w:t>202</w:t>
      </w:r>
      <w:r>
        <w:rPr>
          <w:rFonts w:hint="default" w:ascii="Times New Roman" w:hAnsi="Times New Roman" w:eastAsia="仿宋_GB2312" w:cs="Times New Roman"/>
          <w:bCs/>
          <w:color w:val="000000"/>
          <w:sz w:val="32"/>
          <w:szCs w:val="32"/>
          <w:highlight w:val="none"/>
          <w:lang w:val="en-US" w:eastAsia="zh-CN"/>
        </w:rPr>
        <w:t>2</w:t>
      </w:r>
      <w:r>
        <w:rPr>
          <w:rFonts w:hint="default" w:ascii="Times New Roman" w:hAnsi="Times New Roman" w:eastAsia="仿宋_GB2312" w:cs="Times New Roman"/>
          <w:bCs/>
          <w:color w:val="000000"/>
          <w:sz w:val="32"/>
          <w:szCs w:val="32"/>
          <w:highlight w:val="none"/>
        </w:rPr>
        <w:t>年</w:t>
      </w:r>
      <w:r>
        <w:rPr>
          <w:rFonts w:hint="default" w:ascii="Times New Roman" w:hAnsi="Times New Roman" w:eastAsia="仿宋_GB2312" w:cs="Times New Roman"/>
          <w:bCs/>
          <w:color w:val="000000"/>
          <w:sz w:val="32"/>
          <w:szCs w:val="32"/>
          <w:highlight w:val="none"/>
          <w:lang w:val="en-US" w:eastAsia="zh-CN"/>
        </w:rPr>
        <w:t>8</w:t>
      </w:r>
      <w:r>
        <w:rPr>
          <w:rFonts w:hint="default" w:ascii="Times New Roman" w:hAnsi="Times New Roman" w:eastAsia="仿宋_GB2312" w:cs="Times New Roman"/>
          <w:bCs/>
          <w:color w:val="000000"/>
          <w:sz w:val="32"/>
          <w:szCs w:val="32"/>
          <w:highlight w:val="none"/>
        </w:rPr>
        <w:t>月</w:t>
      </w:r>
      <w:r>
        <w:rPr>
          <w:rFonts w:hint="default" w:ascii="Times New Roman" w:hAnsi="Times New Roman" w:eastAsia="仿宋_GB2312" w:cs="Times New Roman"/>
          <w:bCs/>
          <w:color w:val="000000"/>
          <w:sz w:val="32"/>
          <w:szCs w:val="32"/>
          <w:highlight w:val="none"/>
          <w:lang w:val="en-US" w:eastAsia="zh-CN"/>
        </w:rPr>
        <w:t>2</w:t>
      </w:r>
      <w:r>
        <w:rPr>
          <w:rFonts w:hint="default" w:ascii="Times New Roman" w:hAnsi="Times New Roman" w:eastAsia="仿宋_GB2312" w:cs="Times New Roman"/>
          <w:bCs/>
          <w:color w:val="000000"/>
          <w:sz w:val="32"/>
          <w:szCs w:val="32"/>
          <w:highlight w:val="none"/>
        </w:rPr>
        <w:t>日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bCs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bCs/>
          <w:color w:val="000000"/>
          <w:sz w:val="32"/>
          <w:szCs w:val="32"/>
        </w:rPr>
      </w:pPr>
      <w:r>
        <w:rPr>
          <w:rFonts w:hint="default" w:ascii="Times New Roman" w:hAnsi="Times New Roman" w:eastAsia="仿宋_GB2312" w:cs="Times New Roman"/>
          <w:bCs/>
          <w:color w:val="000000"/>
          <w:sz w:val="32"/>
          <w:szCs w:val="32"/>
        </w:rPr>
        <w:t>（联系人：标准</w:t>
      </w:r>
      <w:bookmarkStart w:id="0" w:name="_GoBack"/>
      <w:bookmarkEnd w:id="0"/>
      <w:r>
        <w:rPr>
          <w:rFonts w:hint="default" w:ascii="Times New Roman" w:hAnsi="Times New Roman" w:eastAsia="仿宋_GB2312" w:cs="Times New Roman"/>
          <w:bCs/>
          <w:color w:val="000000"/>
          <w:sz w:val="32"/>
          <w:szCs w:val="32"/>
        </w:rPr>
        <w:t>化处</w:t>
      </w:r>
      <w:r>
        <w:rPr>
          <w:rFonts w:hint="default" w:ascii="Times New Roman" w:hAnsi="Times New Roman" w:eastAsia="仿宋_GB2312" w:cs="Times New Roman"/>
          <w:bCs/>
          <w:color w:val="000000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仿宋_GB2312" w:cs="Times New Roman"/>
          <w:bCs/>
          <w:color w:val="000000"/>
          <w:sz w:val="32"/>
          <w:szCs w:val="32"/>
        </w:rPr>
        <w:t>吴晶，联系电话：85730682）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left="0" w:leftChars="0" w:firstLine="568" w:firstLineChars="200"/>
        <w:jc w:val="both"/>
        <w:textAlignment w:val="auto"/>
        <w:rPr>
          <w:rFonts w:hint="eastAsia" w:ascii="黑体" w:hAnsi="黑体" w:eastAsia="黑体" w:cs="方正小标宋_GBK"/>
          <w:spacing w:val="-18"/>
          <w:sz w:val="32"/>
          <w:szCs w:val="32"/>
        </w:rPr>
        <w:sectPr>
          <w:footerReference r:id="rId3" w:type="default"/>
          <w:pgSz w:w="11906" w:h="16838"/>
          <w:pgMar w:top="1984" w:right="1474" w:bottom="1984" w:left="1587" w:header="851" w:footer="992" w:gutter="0"/>
          <w:pgNumType w:fmt="numberInDash"/>
          <w:cols w:space="425" w:num="1"/>
          <w:docGrid w:type="lines" w:linePitch="312" w:charSpace="0"/>
        </w:sectPr>
      </w:pPr>
    </w:p>
    <w:p>
      <w:pPr>
        <w:spacing w:line="600" w:lineRule="exact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pacing w:val="-18"/>
          <w:sz w:val="32"/>
          <w:szCs w:val="32"/>
        </w:rPr>
        <w:t>附件</w:t>
      </w:r>
      <w:r>
        <w:rPr>
          <w:rFonts w:hint="eastAsia" w:ascii="黑体" w:hAnsi="黑体" w:eastAsia="黑体" w:cs="黑体"/>
          <w:spacing w:val="-18"/>
          <w:sz w:val="32"/>
          <w:szCs w:val="32"/>
          <w:lang w:val="en-US" w:eastAsia="zh-CN"/>
        </w:rPr>
        <w:t>1</w:t>
      </w:r>
    </w:p>
    <w:p>
      <w:pPr>
        <w:jc w:val="center"/>
        <w:rPr>
          <w:rFonts w:hint="eastAsia" w:ascii="方正小标宋简体" w:eastAsia="方正小标宋简体" w:cs="仿宋_GB2312"/>
          <w:color w:val="auto"/>
          <w:sz w:val="44"/>
          <w:szCs w:val="44"/>
        </w:rPr>
      </w:pPr>
    </w:p>
    <w:p>
      <w:pPr>
        <w:jc w:val="center"/>
        <w:rPr>
          <w:rFonts w:hint="eastAsia" w:ascii="黑体" w:hAnsi="黑体" w:eastAsia="黑体" w:cs="黑体"/>
          <w:color w:val="auto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44"/>
          <w:szCs w:val="44"/>
        </w:rPr>
        <w:t>202</w:t>
      </w:r>
      <w:r>
        <w:rPr>
          <w:rFonts w:hint="eastAsia" w:ascii="黑体" w:hAnsi="黑体" w:eastAsia="黑体" w:cs="黑体"/>
          <w:color w:val="auto"/>
          <w:sz w:val="44"/>
          <w:szCs w:val="44"/>
          <w:lang w:val="en-US" w:eastAsia="zh-CN"/>
        </w:rPr>
        <w:t>2</w:t>
      </w:r>
      <w:r>
        <w:rPr>
          <w:rFonts w:hint="eastAsia" w:ascii="黑体" w:hAnsi="黑体" w:eastAsia="黑体" w:cs="黑体"/>
          <w:color w:val="auto"/>
          <w:sz w:val="44"/>
          <w:szCs w:val="44"/>
        </w:rPr>
        <w:t>年青岛市地方标准</w:t>
      </w:r>
      <w:r>
        <w:rPr>
          <w:rFonts w:hint="eastAsia" w:ascii="黑体" w:hAnsi="黑体" w:eastAsia="黑体" w:cs="黑体"/>
          <w:b w:val="0"/>
          <w:bCs w:val="0"/>
          <w:sz w:val="44"/>
          <w:szCs w:val="44"/>
          <w:lang w:eastAsia="zh-CN"/>
        </w:rPr>
        <w:t>（</w:t>
      </w:r>
      <w:r>
        <w:rPr>
          <w:rFonts w:hint="eastAsia" w:ascii="黑体" w:hAnsi="黑体" w:eastAsia="黑体" w:cs="黑体"/>
          <w:b w:val="0"/>
          <w:bCs w:val="0"/>
          <w:sz w:val="44"/>
          <w:szCs w:val="44"/>
          <w:lang w:val="en-US" w:eastAsia="zh-CN"/>
        </w:rPr>
        <w:t>规范）</w:t>
      </w:r>
      <w:r>
        <w:rPr>
          <w:rFonts w:hint="eastAsia" w:ascii="黑体" w:hAnsi="黑体" w:eastAsia="黑体" w:cs="黑体"/>
          <w:color w:val="auto"/>
          <w:sz w:val="44"/>
          <w:szCs w:val="44"/>
          <w:lang w:eastAsia="zh-CN"/>
        </w:rPr>
        <w:t>拟</w:t>
      </w:r>
      <w:r>
        <w:rPr>
          <w:rFonts w:hint="eastAsia" w:ascii="黑体" w:hAnsi="黑体" w:eastAsia="黑体" w:cs="黑体"/>
          <w:color w:val="auto"/>
          <w:sz w:val="44"/>
          <w:szCs w:val="44"/>
          <w:lang w:val="en-US" w:eastAsia="zh-CN"/>
        </w:rPr>
        <w:t>立项</w:t>
      </w:r>
      <w:r>
        <w:rPr>
          <w:rFonts w:hint="eastAsia" w:ascii="黑体" w:hAnsi="黑体" w:eastAsia="黑体" w:cs="黑体"/>
          <w:color w:val="auto"/>
          <w:sz w:val="44"/>
          <w:szCs w:val="44"/>
        </w:rPr>
        <w:t>项目</w:t>
      </w:r>
      <w:r>
        <w:rPr>
          <w:rFonts w:hint="eastAsia" w:ascii="黑体" w:hAnsi="黑体" w:eastAsia="黑体" w:cs="黑体"/>
          <w:color w:val="auto"/>
          <w:sz w:val="44"/>
          <w:szCs w:val="44"/>
          <w:lang w:val="en-US" w:eastAsia="zh-CN"/>
        </w:rPr>
        <w:t>名单（第三批）</w:t>
      </w:r>
    </w:p>
    <w:tbl>
      <w:tblPr>
        <w:tblStyle w:val="8"/>
        <w:tblW w:w="496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5"/>
        <w:gridCol w:w="781"/>
        <w:gridCol w:w="3896"/>
        <w:gridCol w:w="2420"/>
        <w:gridCol w:w="3466"/>
        <w:gridCol w:w="1386"/>
        <w:gridCol w:w="8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3" w:hRule="atLeast"/>
          <w:tblHeader/>
          <w:jc w:val="center"/>
        </w:trPr>
        <w:tc>
          <w:tcPr>
            <w:tcW w:w="435" w:type="pct"/>
            <w:noWrap w:val="0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lang w:val="en-US" w:eastAsia="zh-CN"/>
              </w:rPr>
              <w:t>立项编号</w:t>
            </w:r>
          </w:p>
        </w:tc>
        <w:tc>
          <w:tcPr>
            <w:tcW w:w="277" w:type="pct"/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  <w:t>调整范围</w:t>
            </w:r>
          </w:p>
        </w:tc>
        <w:tc>
          <w:tcPr>
            <w:tcW w:w="1385" w:type="pct"/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</w:rPr>
              <w:t>标准名称</w:t>
            </w:r>
          </w:p>
        </w:tc>
        <w:tc>
          <w:tcPr>
            <w:tcW w:w="860" w:type="pct"/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</w:rPr>
              <w:t>管理归口单位</w:t>
            </w:r>
          </w:p>
          <w:p>
            <w:pPr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</w:rPr>
              <w:t>组织实施单位</w:t>
            </w:r>
          </w:p>
        </w:tc>
        <w:tc>
          <w:tcPr>
            <w:tcW w:w="1232" w:type="pct"/>
            <w:noWrap w:val="0"/>
            <w:vAlign w:val="center"/>
          </w:tcPr>
          <w:p>
            <w:pPr>
              <w:autoSpaceDN w:val="0"/>
              <w:jc w:val="center"/>
              <w:textAlignment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</w:rPr>
              <w:t>主要起草单位</w:t>
            </w:r>
          </w:p>
        </w:tc>
        <w:tc>
          <w:tcPr>
            <w:tcW w:w="492" w:type="pct"/>
            <w:noWrap w:val="0"/>
            <w:vAlign w:val="center"/>
          </w:tcPr>
          <w:p>
            <w:pPr>
              <w:bidi w:val="0"/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kern w:val="2"/>
                <w:sz w:val="24"/>
                <w:szCs w:val="24"/>
                <w:lang w:val="en-US" w:eastAsia="zh-CN" w:bidi="ar-SA"/>
              </w:rPr>
              <w:t>完成时限</w:t>
            </w:r>
          </w:p>
        </w:tc>
        <w:tc>
          <w:tcPr>
            <w:tcW w:w="315" w:type="pct"/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lang w:eastAsia="zh-CN"/>
              </w:rPr>
              <w:t>制定</w:t>
            </w: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lang w:val="en-US" w:eastAsia="zh-CN"/>
              </w:rPr>
              <w:t>/</w:t>
            </w:r>
          </w:p>
          <w:p>
            <w:pPr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</w:rPr>
              <w:t>修订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9" w:hRule="atLeast"/>
          <w:jc w:val="center"/>
        </w:trPr>
        <w:tc>
          <w:tcPr>
            <w:tcW w:w="435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2022005</w:t>
            </w:r>
          </w:p>
        </w:tc>
        <w:tc>
          <w:tcPr>
            <w:tcW w:w="277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公共服务</w:t>
            </w:r>
          </w:p>
        </w:tc>
        <w:tc>
          <w:tcPr>
            <w:tcW w:w="1385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劳动能力鉴定智能化服务规范</w:t>
            </w:r>
          </w:p>
        </w:tc>
        <w:tc>
          <w:tcPr>
            <w:tcW w:w="860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青岛市人力资源和社会保障局</w:t>
            </w:r>
          </w:p>
        </w:tc>
        <w:tc>
          <w:tcPr>
            <w:tcW w:w="1232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青岛市社会保险事业中心</w:t>
            </w:r>
          </w:p>
        </w:tc>
        <w:tc>
          <w:tcPr>
            <w:tcW w:w="492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2023年8月</w:t>
            </w:r>
          </w:p>
        </w:tc>
        <w:tc>
          <w:tcPr>
            <w:tcW w:w="315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制定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  <w:jc w:val="center"/>
        </w:trPr>
        <w:tc>
          <w:tcPr>
            <w:tcW w:w="435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2022006</w:t>
            </w:r>
          </w:p>
        </w:tc>
        <w:tc>
          <w:tcPr>
            <w:tcW w:w="277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公共服务</w:t>
            </w:r>
          </w:p>
        </w:tc>
        <w:tc>
          <w:tcPr>
            <w:tcW w:w="1385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长期护理保险定点护理服务机构评鉴规范</w:t>
            </w:r>
          </w:p>
        </w:tc>
        <w:tc>
          <w:tcPr>
            <w:tcW w:w="860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青岛市医疗保障局</w:t>
            </w:r>
          </w:p>
        </w:tc>
        <w:tc>
          <w:tcPr>
            <w:tcW w:w="1232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青岛市医疗保障局</w:t>
            </w:r>
          </w:p>
        </w:tc>
        <w:tc>
          <w:tcPr>
            <w:tcW w:w="492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2023年8月</w:t>
            </w:r>
          </w:p>
        </w:tc>
        <w:tc>
          <w:tcPr>
            <w:tcW w:w="315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修订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  <w:jc w:val="center"/>
        </w:trPr>
        <w:tc>
          <w:tcPr>
            <w:tcW w:w="435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2022007</w:t>
            </w:r>
          </w:p>
        </w:tc>
        <w:tc>
          <w:tcPr>
            <w:tcW w:w="277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公共服务</w:t>
            </w:r>
          </w:p>
        </w:tc>
        <w:tc>
          <w:tcPr>
            <w:tcW w:w="1385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地理信息公共服务平台建设技术规范</w:t>
            </w:r>
          </w:p>
        </w:tc>
        <w:tc>
          <w:tcPr>
            <w:tcW w:w="860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青岛市自然资源和规划局</w:t>
            </w:r>
          </w:p>
        </w:tc>
        <w:tc>
          <w:tcPr>
            <w:tcW w:w="1232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青岛市勘察测绘研究院</w:t>
            </w:r>
          </w:p>
        </w:tc>
        <w:tc>
          <w:tcPr>
            <w:tcW w:w="492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2023年8月</w:t>
            </w:r>
          </w:p>
        </w:tc>
        <w:tc>
          <w:tcPr>
            <w:tcW w:w="315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制定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  <w:jc w:val="center"/>
        </w:trPr>
        <w:tc>
          <w:tcPr>
            <w:tcW w:w="435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2022008</w:t>
            </w:r>
          </w:p>
        </w:tc>
        <w:tc>
          <w:tcPr>
            <w:tcW w:w="277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公共服务</w:t>
            </w:r>
          </w:p>
        </w:tc>
        <w:tc>
          <w:tcPr>
            <w:tcW w:w="1385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倾斜摄影三维模型数据采集与处理技术规范</w:t>
            </w:r>
          </w:p>
        </w:tc>
        <w:tc>
          <w:tcPr>
            <w:tcW w:w="860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青岛市自然资源和规划局</w:t>
            </w:r>
          </w:p>
        </w:tc>
        <w:tc>
          <w:tcPr>
            <w:tcW w:w="1232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青岛市勘察测绘研究院</w:t>
            </w:r>
          </w:p>
        </w:tc>
        <w:tc>
          <w:tcPr>
            <w:tcW w:w="492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2023年8月</w:t>
            </w:r>
          </w:p>
        </w:tc>
        <w:tc>
          <w:tcPr>
            <w:tcW w:w="315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制定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  <w:jc w:val="center"/>
        </w:trPr>
        <w:tc>
          <w:tcPr>
            <w:tcW w:w="435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2022009</w:t>
            </w:r>
          </w:p>
        </w:tc>
        <w:tc>
          <w:tcPr>
            <w:tcW w:w="277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公共服务</w:t>
            </w:r>
          </w:p>
        </w:tc>
        <w:tc>
          <w:tcPr>
            <w:tcW w:w="1385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交通运输基础设施数字化技术规范</w:t>
            </w:r>
          </w:p>
        </w:tc>
        <w:tc>
          <w:tcPr>
            <w:tcW w:w="860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青岛市交通运输局</w:t>
            </w:r>
          </w:p>
        </w:tc>
        <w:tc>
          <w:tcPr>
            <w:tcW w:w="1232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青岛市交通运输公共服务中心</w:t>
            </w:r>
          </w:p>
        </w:tc>
        <w:tc>
          <w:tcPr>
            <w:tcW w:w="492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2023年8月</w:t>
            </w:r>
          </w:p>
        </w:tc>
        <w:tc>
          <w:tcPr>
            <w:tcW w:w="315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制定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  <w:jc w:val="center"/>
        </w:trPr>
        <w:tc>
          <w:tcPr>
            <w:tcW w:w="435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2022010</w:t>
            </w:r>
          </w:p>
        </w:tc>
        <w:tc>
          <w:tcPr>
            <w:tcW w:w="277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公共服务</w:t>
            </w:r>
          </w:p>
        </w:tc>
        <w:tc>
          <w:tcPr>
            <w:tcW w:w="1385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交通运输客货流监测技术规范</w:t>
            </w:r>
          </w:p>
        </w:tc>
        <w:tc>
          <w:tcPr>
            <w:tcW w:w="860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青岛市交通运输局</w:t>
            </w:r>
          </w:p>
        </w:tc>
        <w:tc>
          <w:tcPr>
            <w:tcW w:w="1232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青岛市交通运输公共服务中心</w:t>
            </w:r>
          </w:p>
        </w:tc>
        <w:tc>
          <w:tcPr>
            <w:tcW w:w="492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2023年8月</w:t>
            </w:r>
          </w:p>
        </w:tc>
        <w:tc>
          <w:tcPr>
            <w:tcW w:w="315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制定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  <w:jc w:val="center"/>
        </w:trPr>
        <w:tc>
          <w:tcPr>
            <w:tcW w:w="435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2022011</w:t>
            </w:r>
          </w:p>
        </w:tc>
        <w:tc>
          <w:tcPr>
            <w:tcW w:w="277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公共服务</w:t>
            </w:r>
          </w:p>
        </w:tc>
        <w:tc>
          <w:tcPr>
            <w:tcW w:w="1385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交通运输服务水平评价技术规范</w:t>
            </w:r>
          </w:p>
        </w:tc>
        <w:tc>
          <w:tcPr>
            <w:tcW w:w="860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青岛市交通运输局</w:t>
            </w:r>
          </w:p>
        </w:tc>
        <w:tc>
          <w:tcPr>
            <w:tcW w:w="1232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青岛市交通运输公共服务中心</w:t>
            </w:r>
          </w:p>
        </w:tc>
        <w:tc>
          <w:tcPr>
            <w:tcW w:w="492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2023年8月</w:t>
            </w:r>
          </w:p>
        </w:tc>
        <w:tc>
          <w:tcPr>
            <w:tcW w:w="315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制定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  <w:jc w:val="center"/>
        </w:trPr>
        <w:tc>
          <w:tcPr>
            <w:tcW w:w="435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2022012</w:t>
            </w:r>
          </w:p>
        </w:tc>
        <w:tc>
          <w:tcPr>
            <w:tcW w:w="277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公共服务</w:t>
            </w:r>
          </w:p>
        </w:tc>
        <w:tc>
          <w:tcPr>
            <w:tcW w:w="1385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浮动车数据应用技术规范</w:t>
            </w:r>
          </w:p>
        </w:tc>
        <w:tc>
          <w:tcPr>
            <w:tcW w:w="860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青岛市交通运输局</w:t>
            </w:r>
          </w:p>
        </w:tc>
        <w:tc>
          <w:tcPr>
            <w:tcW w:w="1232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青岛市交通运输公共服务中心</w:t>
            </w:r>
          </w:p>
        </w:tc>
        <w:tc>
          <w:tcPr>
            <w:tcW w:w="492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2023年8月</w:t>
            </w:r>
          </w:p>
        </w:tc>
        <w:tc>
          <w:tcPr>
            <w:tcW w:w="315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制定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  <w:jc w:val="center"/>
        </w:trPr>
        <w:tc>
          <w:tcPr>
            <w:tcW w:w="435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2022013</w:t>
            </w:r>
          </w:p>
        </w:tc>
        <w:tc>
          <w:tcPr>
            <w:tcW w:w="277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公共服务</w:t>
            </w:r>
          </w:p>
        </w:tc>
        <w:tc>
          <w:tcPr>
            <w:tcW w:w="1385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仿宋_GB2312" w:eastAsia="仿宋_GB2312"/>
                <w:color w:val="000000"/>
                <w:sz w:val="24"/>
              </w:rPr>
              <w:t>网络货运平台车辆数据技术规范</w:t>
            </w:r>
          </w:p>
        </w:tc>
        <w:tc>
          <w:tcPr>
            <w:tcW w:w="860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青岛市交通运输局</w:t>
            </w:r>
          </w:p>
        </w:tc>
        <w:tc>
          <w:tcPr>
            <w:tcW w:w="1232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青岛市交通运输局、青岛市运输事业发展中心、青岛无车承运服务中心有限公司</w:t>
            </w:r>
          </w:p>
        </w:tc>
        <w:tc>
          <w:tcPr>
            <w:tcW w:w="492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2023年8月</w:t>
            </w:r>
          </w:p>
        </w:tc>
        <w:tc>
          <w:tcPr>
            <w:tcW w:w="315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制定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  <w:jc w:val="center"/>
        </w:trPr>
        <w:tc>
          <w:tcPr>
            <w:tcW w:w="435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2022014</w:t>
            </w:r>
          </w:p>
        </w:tc>
        <w:tc>
          <w:tcPr>
            <w:tcW w:w="277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公共服务</w:t>
            </w:r>
          </w:p>
        </w:tc>
        <w:tc>
          <w:tcPr>
            <w:tcW w:w="1385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公交站点设置规范</w:t>
            </w:r>
          </w:p>
        </w:tc>
        <w:tc>
          <w:tcPr>
            <w:tcW w:w="860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青岛市交通运输局</w:t>
            </w:r>
          </w:p>
        </w:tc>
        <w:tc>
          <w:tcPr>
            <w:tcW w:w="1232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青岛市交通运输局、青岛市市北区产业发展中心</w:t>
            </w:r>
          </w:p>
        </w:tc>
        <w:tc>
          <w:tcPr>
            <w:tcW w:w="492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2023年8月</w:t>
            </w:r>
          </w:p>
        </w:tc>
        <w:tc>
          <w:tcPr>
            <w:tcW w:w="315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修订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  <w:jc w:val="center"/>
        </w:trPr>
        <w:tc>
          <w:tcPr>
            <w:tcW w:w="435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2022015</w:t>
            </w:r>
          </w:p>
        </w:tc>
        <w:tc>
          <w:tcPr>
            <w:tcW w:w="277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市场监管</w:t>
            </w:r>
          </w:p>
        </w:tc>
        <w:tc>
          <w:tcPr>
            <w:tcW w:w="1385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市场监管服务型执法全流程工作规范</w:t>
            </w:r>
          </w:p>
        </w:tc>
        <w:tc>
          <w:tcPr>
            <w:tcW w:w="860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青岛市市场监督管理局</w:t>
            </w:r>
          </w:p>
        </w:tc>
        <w:tc>
          <w:tcPr>
            <w:tcW w:w="1232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青岛市市场监督综合执法支队</w:t>
            </w:r>
          </w:p>
        </w:tc>
        <w:tc>
          <w:tcPr>
            <w:tcW w:w="492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2023年8月</w:t>
            </w:r>
          </w:p>
        </w:tc>
        <w:tc>
          <w:tcPr>
            <w:tcW w:w="315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制定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  <w:jc w:val="center"/>
        </w:trPr>
        <w:tc>
          <w:tcPr>
            <w:tcW w:w="435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2022016</w:t>
            </w:r>
          </w:p>
        </w:tc>
        <w:tc>
          <w:tcPr>
            <w:tcW w:w="277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其他</w:t>
            </w:r>
          </w:p>
        </w:tc>
        <w:tc>
          <w:tcPr>
            <w:tcW w:w="1385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园林林业植物病虫害监测与防控防治技术规范</w:t>
            </w:r>
          </w:p>
        </w:tc>
        <w:tc>
          <w:tcPr>
            <w:tcW w:w="860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青岛市园林和林业局</w:t>
            </w:r>
          </w:p>
        </w:tc>
        <w:tc>
          <w:tcPr>
            <w:tcW w:w="1232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青岛市园林林业技术学校、青岛市园林科学研究中心</w:t>
            </w:r>
          </w:p>
        </w:tc>
        <w:tc>
          <w:tcPr>
            <w:tcW w:w="492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2023年8月</w:t>
            </w:r>
          </w:p>
        </w:tc>
        <w:tc>
          <w:tcPr>
            <w:tcW w:w="315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制定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  <w:jc w:val="center"/>
        </w:trPr>
        <w:tc>
          <w:tcPr>
            <w:tcW w:w="435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2022017</w:t>
            </w:r>
          </w:p>
        </w:tc>
        <w:tc>
          <w:tcPr>
            <w:tcW w:w="277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其他</w:t>
            </w:r>
          </w:p>
        </w:tc>
        <w:tc>
          <w:tcPr>
            <w:tcW w:w="1385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智慧公园建设技术规程</w:t>
            </w:r>
          </w:p>
        </w:tc>
        <w:tc>
          <w:tcPr>
            <w:tcW w:w="860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青岛市园林和林业局</w:t>
            </w:r>
          </w:p>
        </w:tc>
        <w:tc>
          <w:tcPr>
            <w:tcW w:w="1232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青岛市市级公园管理服务中心</w:t>
            </w:r>
          </w:p>
        </w:tc>
        <w:tc>
          <w:tcPr>
            <w:tcW w:w="492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2023年8月</w:t>
            </w:r>
          </w:p>
        </w:tc>
        <w:tc>
          <w:tcPr>
            <w:tcW w:w="315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制定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  <w:jc w:val="center"/>
        </w:trPr>
        <w:tc>
          <w:tcPr>
            <w:tcW w:w="435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2022018</w:t>
            </w:r>
          </w:p>
        </w:tc>
        <w:tc>
          <w:tcPr>
            <w:tcW w:w="277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其他</w:t>
            </w:r>
          </w:p>
        </w:tc>
        <w:tc>
          <w:tcPr>
            <w:tcW w:w="1385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观赏草栽植管理技术规程</w:t>
            </w:r>
          </w:p>
        </w:tc>
        <w:tc>
          <w:tcPr>
            <w:tcW w:w="860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青岛市园林和林业局</w:t>
            </w:r>
          </w:p>
        </w:tc>
        <w:tc>
          <w:tcPr>
            <w:tcW w:w="1232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青岛市苗木协会</w:t>
            </w:r>
          </w:p>
        </w:tc>
        <w:tc>
          <w:tcPr>
            <w:tcW w:w="492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2023年8月</w:t>
            </w:r>
          </w:p>
        </w:tc>
        <w:tc>
          <w:tcPr>
            <w:tcW w:w="315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制定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  <w:jc w:val="center"/>
        </w:trPr>
        <w:tc>
          <w:tcPr>
            <w:tcW w:w="435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2022019</w:t>
            </w:r>
          </w:p>
        </w:tc>
        <w:tc>
          <w:tcPr>
            <w:tcW w:w="277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其他</w:t>
            </w:r>
          </w:p>
        </w:tc>
        <w:tc>
          <w:tcPr>
            <w:tcW w:w="1385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一二年生草本花卉生产技术规程</w:t>
            </w:r>
          </w:p>
        </w:tc>
        <w:tc>
          <w:tcPr>
            <w:tcW w:w="860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青岛市园林和林业局</w:t>
            </w:r>
          </w:p>
        </w:tc>
        <w:tc>
          <w:tcPr>
            <w:tcW w:w="1232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青岛博雅生态环境工程有限公司</w:t>
            </w:r>
          </w:p>
        </w:tc>
        <w:tc>
          <w:tcPr>
            <w:tcW w:w="492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2023年8月</w:t>
            </w:r>
          </w:p>
        </w:tc>
        <w:tc>
          <w:tcPr>
            <w:tcW w:w="315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制定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  <w:jc w:val="center"/>
        </w:trPr>
        <w:tc>
          <w:tcPr>
            <w:tcW w:w="435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2022020</w:t>
            </w:r>
          </w:p>
        </w:tc>
        <w:tc>
          <w:tcPr>
            <w:tcW w:w="277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其他</w:t>
            </w:r>
          </w:p>
        </w:tc>
        <w:tc>
          <w:tcPr>
            <w:tcW w:w="1385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会展活动碳足迹核算指南</w:t>
            </w:r>
          </w:p>
        </w:tc>
        <w:tc>
          <w:tcPr>
            <w:tcW w:w="860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中国国际贸易促进委员会青岛市分会</w:t>
            </w:r>
          </w:p>
        </w:tc>
        <w:tc>
          <w:tcPr>
            <w:tcW w:w="1232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青岛市标准化研究院、青岛市会展经济研究会、青岛市市北区产业发展中心</w:t>
            </w:r>
          </w:p>
        </w:tc>
        <w:tc>
          <w:tcPr>
            <w:tcW w:w="492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2023年8月</w:t>
            </w:r>
          </w:p>
        </w:tc>
        <w:tc>
          <w:tcPr>
            <w:tcW w:w="315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制定</w:t>
            </w:r>
          </w:p>
        </w:tc>
      </w:tr>
    </w:tbl>
    <w:p>
      <w:pPr>
        <w:spacing w:line="620" w:lineRule="exact"/>
        <w:rPr>
          <w:rFonts w:hint="eastAsia" w:ascii="黑体" w:hAnsi="黑体" w:eastAsia="仿宋_GB2312" w:cs="方正小标宋_GBK"/>
          <w:spacing w:val="-18"/>
          <w:sz w:val="21"/>
          <w:szCs w:val="21"/>
          <w:lang w:eastAsia="zh-CN"/>
        </w:rPr>
        <w:sectPr>
          <w:pgSz w:w="16838" w:h="11906" w:orient="landscape"/>
          <w:pgMar w:top="1800" w:right="1440" w:bottom="1800" w:left="1440" w:header="851" w:footer="992" w:gutter="0"/>
          <w:pgNumType w:fmt="numberInDash"/>
          <w:cols w:space="425" w:num="1"/>
          <w:docGrid w:type="lines" w:linePitch="312" w:charSpace="0"/>
        </w:sectPr>
      </w:pPr>
      <w:r>
        <w:rPr>
          <w:rFonts w:hint="eastAsia" w:ascii="黑体" w:hAnsi="仿宋" w:eastAsia="黑体"/>
          <w:color w:val="auto"/>
          <w:sz w:val="21"/>
          <w:szCs w:val="21"/>
        </w:rPr>
        <w:t>注</w:t>
      </w:r>
      <w:r>
        <w:rPr>
          <w:rFonts w:hint="eastAsia" w:ascii="仿宋_GB2312" w:hAnsi="仿宋" w:eastAsia="仿宋_GB2312"/>
          <w:color w:val="auto"/>
          <w:sz w:val="21"/>
          <w:szCs w:val="21"/>
        </w:rPr>
        <w:t>：</w:t>
      </w:r>
      <w:r>
        <w:rPr>
          <w:rFonts w:hint="eastAsia" w:ascii="仿宋_GB2312" w:eastAsia="仿宋_GB2312"/>
          <w:sz w:val="21"/>
          <w:szCs w:val="21"/>
          <w:lang w:val="en-US" w:eastAsia="zh-CN"/>
        </w:rPr>
        <w:t>调整范围</w:t>
      </w:r>
      <w:r>
        <w:rPr>
          <w:rFonts w:hint="eastAsia" w:ascii="仿宋_GB2312" w:eastAsia="仿宋_GB2312"/>
          <w:sz w:val="21"/>
          <w:szCs w:val="21"/>
        </w:rPr>
        <w:t>为</w:t>
      </w:r>
      <w:r>
        <w:rPr>
          <w:rFonts w:hint="eastAsia" w:ascii="仿宋_GB2312" w:eastAsia="仿宋_GB2312"/>
          <w:sz w:val="21"/>
          <w:szCs w:val="21"/>
          <w:lang w:val="en-US" w:eastAsia="zh-CN"/>
        </w:rPr>
        <w:t>经济调节</w:t>
      </w:r>
      <w:r>
        <w:rPr>
          <w:rFonts w:hint="eastAsia" w:ascii="仿宋_GB2312" w:eastAsia="仿宋_GB2312"/>
          <w:sz w:val="21"/>
          <w:szCs w:val="21"/>
        </w:rPr>
        <w:t>、</w:t>
      </w:r>
      <w:r>
        <w:rPr>
          <w:rFonts w:hint="eastAsia" w:ascii="仿宋_GB2312" w:eastAsia="仿宋_GB2312"/>
          <w:sz w:val="21"/>
          <w:szCs w:val="21"/>
          <w:lang w:val="en-US" w:eastAsia="zh-CN"/>
        </w:rPr>
        <w:t>市场监管</w:t>
      </w:r>
      <w:r>
        <w:rPr>
          <w:rFonts w:hint="eastAsia" w:ascii="仿宋_GB2312" w:eastAsia="仿宋_GB2312"/>
          <w:sz w:val="21"/>
          <w:szCs w:val="21"/>
        </w:rPr>
        <w:t>、</w:t>
      </w:r>
      <w:r>
        <w:rPr>
          <w:rFonts w:hint="eastAsia" w:ascii="仿宋_GB2312" w:eastAsia="仿宋_GB2312"/>
          <w:sz w:val="21"/>
          <w:szCs w:val="21"/>
          <w:lang w:val="en-US" w:eastAsia="zh-CN"/>
        </w:rPr>
        <w:t>社会管理</w:t>
      </w:r>
      <w:r>
        <w:rPr>
          <w:rFonts w:hint="eastAsia" w:ascii="仿宋_GB2312" w:eastAsia="仿宋_GB2312"/>
          <w:sz w:val="21"/>
          <w:szCs w:val="21"/>
        </w:rPr>
        <w:t>、</w:t>
      </w:r>
      <w:r>
        <w:rPr>
          <w:rFonts w:hint="eastAsia" w:ascii="仿宋_GB2312" w:eastAsia="仿宋_GB2312"/>
          <w:sz w:val="21"/>
          <w:szCs w:val="21"/>
          <w:lang w:val="en-US" w:eastAsia="zh-CN"/>
        </w:rPr>
        <w:t>公共服务</w:t>
      </w:r>
      <w:r>
        <w:rPr>
          <w:rFonts w:hint="eastAsia" w:ascii="仿宋_GB2312" w:eastAsia="仿宋_GB2312"/>
          <w:sz w:val="21"/>
          <w:szCs w:val="21"/>
        </w:rPr>
        <w:t>、其他。</w:t>
      </w:r>
    </w:p>
    <w:p>
      <w:pPr>
        <w:spacing w:line="600" w:lineRule="exact"/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rFonts w:hint="eastAsia" w:ascii="黑体" w:hAnsi="黑体" w:eastAsia="黑体" w:cs="方正小标宋_GBK"/>
          <w:spacing w:val="-18"/>
          <w:sz w:val="32"/>
          <w:szCs w:val="32"/>
        </w:rPr>
        <w:t>附件</w:t>
      </w:r>
      <w:r>
        <w:rPr>
          <w:rFonts w:hint="eastAsia" w:ascii="黑体" w:hAnsi="黑体" w:eastAsia="黑体" w:cs="方正小标宋_GBK"/>
          <w:spacing w:val="-18"/>
          <w:sz w:val="32"/>
          <w:szCs w:val="32"/>
          <w:lang w:val="en-US" w:eastAsia="zh-CN"/>
        </w:rPr>
        <w:t>2</w:t>
      </w:r>
    </w:p>
    <w:p>
      <w:pPr>
        <w:spacing w:line="600" w:lineRule="exact"/>
        <w:jc w:val="center"/>
        <w:rPr>
          <w:rFonts w:ascii="方正小标宋_GBK" w:eastAsia="方正小标宋_GBK"/>
          <w:bCs/>
          <w:color w:val="000000"/>
          <w:sz w:val="44"/>
          <w:szCs w:val="44"/>
        </w:rPr>
      </w:pPr>
      <w:r>
        <w:rPr>
          <w:rFonts w:hint="eastAsia" w:ascii="黑体" w:hAnsi="黑体" w:eastAsia="黑体" w:cs="黑体"/>
          <w:bCs/>
          <w:color w:val="000000"/>
          <w:sz w:val="44"/>
          <w:szCs w:val="44"/>
        </w:rPr>
        <w:t xml:space="preserve"> </w:t>
      </w: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地方标准</w:t>
      </w:r>
      <w:r>
        <w:rPr>
          <w:rFonts w:hint="eastAsia" w:ascii="黑体" w:hAnsi="黑体" w:eastAsia="黑体" w:cs="黑体"/>
          <w:b w:val="0"/>
          <w:bCs w:val="0"/>
          <w:sz w:val="44"/>
          <w:szCs w:val="44"/>
          <w:lang w:eastAsia="zh-CN"/>
        </w:rPr>
        <w:t>（</w:t>
      </w:r>
      <w:r>
        <w:rPr>
          <w:rFonts w:hint="eastAsia" w:ascii="黑体" w:hAnsi="黑体" w:eastAsia="黑体" w:cs="黑体"/>
          <w:b w:val="0"/>
          <w:bCs w:val="0"/>
          <w:sz w:val="44"/>
          <w:szCs w:val="44"/>
          <w:lang w:val="en-US" w:eastAsia="zh-CN"/>
        </w:rPr>
        <w:t>规范）</w:t>
      </w: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立项意见</w:t>
      </w:r>
      <w:r>
        <w:rPr>
          <w:rFonts w:hint="eastAsia" w:ascii="黑体" w:hAnsi="黑体" w:eastAsia="黑体" w:cs="黑体"/>
          <w:sz w:val="44"/>
          <w:szCs w:val="44"/>
        </w:rPr>
        <w:t>表</w:t>
      </w:r>
    </w:p>
    <w:p>
      <w:pPr>
        <w:spacing w:line="600" w:lineRule="exact"/>
        <w:rPr>
          <w:rFonts w:hint="eastAsia" w:ascii="宋体" w:hAnsi="宋体" w:eastAsia="宋体" w:cs="宋体"/>
          <w:color w:val="000000"/>
          <w:spacing w:val="-8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pacing w:val="-8"/>
          <w:sz w:val="24"/>
          <w:szCs w:val="24"/>
        </w:rPr>
        <w:t>单位名称（盖章）：</w:t>
      </w:r>
      <w:r>
        <w:rPr>
          <w:rFonts w:hint="eastAsia" w:ascii="宋体" w:hAnsi="宋体" w:eastAsia="宋体" w:cs="宋体"/>
          <w:color w:val="000000"/>
          <w:spacing w:val="-8"/>
          <w:sz w:val="28"/>
          <w:szCs w:val="28"/>
        </w:rPr>
        <w:t xml:space="preserve"> </w:t>
      </w:r>
    </w:p>
    <w:tbl>
      <w:tblPr>
        <w:tblStyle w:val="8"/>
        <w:tblW w:w="9054" w:type="dxa"/>
        <w:tblInd w:w="0" w:type="dxa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6"/>
        <w:gridCol w:w="7378"/>
      </w:tblGrid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93" w:hRule="atLeast"/>
        </w:trPr>
        <w:tc>
          <w:tcPr>
            <w:tcW w:w="1676" w:type="dxa"/>
            <w:vAlign w:val="center"/>
          </w:tcPr>
          <w:p>
            <w:pPr>
              <w:spacing w:line="600" w:lineRule="exact"/>
              <w:jc w:val="center"/>
              <w:rPr>
                <w:rFonts w:hint="eastAsia" w:ascii="宋体" w:hAnsi="宋体" w:eastAsia="宋体" w:cs="宋体"/>
                <w:color w:val="000000"/>
                <w:spacing w:val="-8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pacing w:val="-8"/>
                <w:sz w:val="24"/>
                <w:szCs w:val="24"/>
              </w:rPr>
              <w:t>反</w:t>
            </w:r>
          </w:p>
          <w:p>
            <w:pPr>
              <w:spacing w:line="600" w:lineRule="exact"/>
              <w:jc w:val="center"/>
              <w:rPr>
                <w:rFonts w:hint="eastAsia" w:ascii="宋体" w:hAnsi="宋体" w:eastAsia="宋体" w:cs="宋体"/>
                <w:color w:val="000000"/>
                <w:spacing w:val="-8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pacing w:val="-8"/>
                <w:sz w:val="24"/>
                <w:szCs w:val="24"/>
              </w:rPr>
              <w:t>馈</w:t>
            </w:r>
          </w:p>
          <w:p>
            <w:pPr>
              <w:spacing w:line="600" w:lineRule="exact"/>
              <w:jc w:val="center"/>
              <w:rPr>
                <w:rFonts w:hint="eastAsia" w:ascii="宋体" w:hAnsi="宋体" w:eastAsia="宋体" w:cs="宋体"/>
                <w:color w:val="000000"/>
                <w:spacing w:val="-8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pacing w:val="-8"/>
                <w:sz w:val="24"/>
                <w:szCs w:val="24"/>
              </w:rPr>
              <w:t>意</w:t>
            </w:r>
          </w:p>
          <w:p>
            <w:pPr>
              <w:spacing w:line="600" w:lineRule="exact"/>
              <w:jc w:val="center"/>
              <w:rPr>
                <w:rFonts w:hint="eastAsia" w:ascii="宋体" w:hAnsi="宋体" w:eastAsia="宋体" w:cs="宋体"/>
                <w:color w:val="000000"/>
                <w:spacing w:val="-8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pacing w:val="-8"/>
                <w:sz w:val="24"/>
                <w:szCs w:val="24"/>
              </w:rPr>
              <w:t>见</w:t>
            </w:r>
          </w:p>
        </w:tc>
        <w:tc>
          <w:tcPr>
            <w:tcW w:w="7378" w:type="dxa"/>
            <w:vAlign w:val="center"/>
          </w:tcPr>
          <w:p>
            <w:pPr>
              <w:spacing w:line="600" w:lineRule="exact"/>
              <w:jc w:val="center"/>
              <w:rPr>
                <w:rFonts w:hint="eastAsia" w:ascii="宋体" w:hAnsi="宋体" w:eastAsia="宋体" w:cs="宋体"/>
                <w:color w:val="000000"/>
                <w:spacing w:val="-8"/>
                <w:sz w:val="28"/>
                <w:szCs w:val="28"/>
              </w:rPr>
            </w:pPr>
          </w:p>
          <w:p>
            <w:pPr>
              <w:spacing w:line="600" w:lineRule="exact"/>
              <w:jc w:val="center"/>
              <w:rPr>
                <w:rFonts w:hint="eastAsia" w:ascii="宋体" w:hAnsi="宋体" w:eastAsia="宋体" w:cs="宋体"/>
                <w:color w:val="000000"/>
                <w:spacing w:val="-8"/>
                <w:sz w:val="28"/>
                <w:szCs w:val="28"/>
              </w:rPr>
            </w:pPr>
          </w:p>
          <w:p>
            <w:pPr>
              <w:spacing w:line="600" w:lineRule="exact"/>
              <w:jc w:val="center"/>
              <w:rPr>
                <w:rFonts w:hint="eastAsia" w:ascii="宋体" w:hAnsi="宋体" w:eastAsia="宋体" w:cs="宋体"/>
                <w:color w:val="000000"/>
                <w:spacing w:val="-8"/>
                <w:sz w:val="28"/>
                <w:szCs w:val="28"/>
              </w:rPr>
            </w:pPr>
          </w:p>
          <w:p>
            <w:pPr>
              <w:spacing w:line="600" w:lineRule="exact"/>
              <w:jc w:val="center"/>
              <w:rPr>
                <w:rFonts w:hint="eastAsia" w:ascii="宋体" w:hAnsi="宋体" w:eastAsia="宋体" w:cs="宋体"/>
                <w:color w:val="000000"/>
                <w:spacing w:val="-8"/>
                <w:sz w:val="28"/>
                <w:szCs w:val="28"/>
              </w:rPr>
            </w:pPr>
          </w:p>
          <w:p>
            <w:pPr>
              <w:spacing w:line="600" w:lineRule="exact"/>
              <w:jc w:val="center"/>
              <w:rPr>
                <w:rFonts w:hint="eastAsia" w:ascii="宋体" w:hAnsi="宋体" w:eastAsia="宋体" w:cs="宋体"/>
                <w:color w:val="000000"/>
                <w:spacing w:val="-8"/>
                <w:sz w:val="28"/>
                <w:szCs w:val="28"/>
              </w:rPr>
            </w:pPr>
          </w:p>
          <w:p>
            <w:pPr>
              <w:spacing w:line="600" w:lineRule="exact"/>
              <w:jc w:val="center"/>
              <w:rPr>
                <w:rFonts w:hint="eastAsia" w:ascii="宋体" w:hAnsi="宋体" w:eastAsia="宋体" w:cs="宋体"/>
                <w:color w:val="000000"/>
                <w:spacing w:val="-8"/>
                <w:sz w:val="28"/>
                <w:szCs w:val="28"/>
              </w:rPr>
            </w:pPr>
          </w:p>
          <w:p>
            <w:pPr>
              <w:spacing w:line="600" w:lineRule="exact"/>
              <w:jc w:val="center"/>
              <w:rPr>
                <w:rFonts w:hint="eastAsia" w:ascii="宋体" w:hAnsi="宋体" w:eastAsia="宋体" w:cs="宋体"/>
                <w:color w:val="000000"/>
                <w:spacing w:val="-8"/>
                <w:sz w:val="28"/>
                <w:szCs w:val="28"/>
              </w:rPr>
            </w:pPr>
          </w:p>
          <w:p>
            <w:pPr>
              <w:spacing w:line="600" w:lineRule="exact"/>
              <w:rPr>
                <w:rFonts w:hint="eastAsia" w:ascii="宋体" w:hAnsi="宋体" w:eastAsia="宋体" w:cs="宋体"/>
                <w:color w:val="000000"/>
                <w:spacing w:val="-8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1676" w:type="dxa"/>
            <w:vAlign w:val="center"/>
          </w:tcPr>
          <w:p>
            <w:pPr>
              <w:spacing w:line="600" w:lineRule="exact"/>
              <w:jc w:val="center"/>
              <w:rPr>
                <w:rFonts w:hint="eastAsia" w:ascii="宋体" w:hAnsi="宋体" w:eastAsia="宋体" w:cs="宋体"/>
                <w:color w:val="000000"/>
                <w:spacing w:val="-8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pacing w:val="-8"/>
                <w:sz w:val="24"/>
                <w:szCs w:val="24"/>
              </w:rPr>
              <w:t>联系人</w:t>
            </w:r>
          </w:p>
        </w:tc>
        <w:tc>
          <w:tcPr>
            <w:tcW w:w="7378" w:type="dxa"/>
            <w:vAlign w:val="center"/>
          </w:tcPr>
          <w:p>
            <w:pPr>
              <w:spacing w:line="600" w:lineRule="exact"/>
              <w:jc w:val="center"/>
              <w:rPr>
                <w:rFonts w:hint="eastAsia" w:ascii="宋体" w:hAnsi="宋体" w:eastAsia="宋体" w:cs="宋体"/>
                <w:color w:val="000000"/>
                <w:spacing w:val="-8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1676" w:type="dxa"/>
            <w:vAlign w:val="center"/>
          </w:tcPr>
          <w:p>
            <w:pPr>
              <w:spacing w:line="600" w:lineRule="exact"/>
              <w:jc w:val="center"/>
              <w:rPr>
                <w:rFonts w:hint="eastAsia" w:ascii="宋体" w:hAnsi="宋体" w:eastAsia="宋体" w:cs="宋体"/>
                <w:color w:val="000000"/>
                <w:spacing w:val="-8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pacing w:val="-8"/>
                <w:sz w:val="24"/>
                <w:szCs w:val="24"/>
              </w:rPr>
              <w:t>联系电话</w:t>
            </w:r>
          </w:p>
        </w:tc>
        <w:tc>
          <w:tcPr>
            <w:tcW w:w="7378" w:type="dxa"/>
            <w:vAlign w:val="center"/>
          </w:tcPr>
          <w:p>
            <w:pPr>
              <w:spacing w:line="600" w:lineRule="exact"/>
              <w:jc w:val="center"/>
              <w:rPr>
                <w:rFonts w:hint="eastAsia" w:ascii="宋体" w:hAnsi="宋体" w:eastAsia="宋体" w:cs="宋体"/>
                <w:color w:val="000000"/>
                <w:spacing w:val="-8"/>
                <w:sz w:val="28"/>
                <w:szCs w:val="28"/>
              </w:rPr>
            </w:pPr>
          </w:p>
        </w:tc>
      </w:tr>
    </w:tbl>
    <w:p>
      <w:pPr>
        <w:spacing w:line="560" w:lineRule="exact"/>
        <w:jc w:val="left"/>
        <w:rPr>
          <w:rFonts w:hint="eastAsia" w:ascii="宋体" w:hAnsi="宋体" w:eastAsia="宋体" w:cs="宋体"/>
          <w:spacing w:val="-18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237322D-76F7-441B-BE0B-BD6B214F5A11}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  <w:embedRegular r:id="rId2" w:fontKey="{4EA17B29-409C-41F6-A0F0-5263182C097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3C4A0310-01AE-4A11-8736-7ACE370B7827}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  <w:embedRegular r:id="rId4" w:fontKey="{A0E3FA7B-56BC-4E40-AB48-36171712A6F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F3563FFB-3283-4B63-9656-124404F4D468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E444C2E0-3667-4BD6-AA6C-C97510A301E4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E7D68221-494E-4AEF-A578-5641B6EFFB76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8" w:fontKey="{A0B48DF6-C77C-4ACB-8D54-C5199F4CC434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AD997DFD-E73B-4929-AD4D-2225ABC7666C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10" w:fontKey="{41DA6899-E9C5-49E4-A935-478C84B2EDB0}"/>
  </w:font>
  <w:font w:name="仿宋">
    <w:panose1 w:val="02010609060101010101"/>
    <w:charset w:val="86"/>
    <w:family w:val="modern"/>
    <w:pitch w:val="default"/>
    <w:sig w:usb0="00000000" w:usb1="00000000" w:usb2="00000000" w:usb3="00000000" w:csb0="00000000" w:csb1="00000000"/>
    <w:embedRegular r:id="rId11" w:fontKey="{981FFD0B-8D9F-4483-BFFA-7981281EB89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Theme="minorEastAsia"/>
                              <w:sz w:val="28"/>
                              <w:szCs w:val="40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28"/>
                              <w:szCs w:val="40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8"/>
                              <w:szCs w:val="40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28"/>
                              <w:szCs w:val="40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28"/>
                              <w:szCs w:val="40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28"/>
                              <w:szCs w:val="40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Theme="minorEastAsia"/>
                        <w:sz w:val="28"/>
                        <w:szCs w:val="40"/>
                        <w:lang w:eastAsia="zh-CN"/>
                      </w:rPr>
                    </w:pPr>
                    <w:r>
                      <w:rPr>
                        <w:rFonts w:hint="eastAsia"/>
                        <w:sz w:val="28"/>
                        <w:szCs w:val="40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28"/>
                        <w:szCs w:val="40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28"/>
                        <w:szCs w:val="40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28"/>
                        <w:szCs w:val="40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sz w:val="28"/>
                        <w:szCs w:val="40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IwZWVhOGVhZjMxOWY0NjMwZmRhZGViMjU4MWRmNDgifQ=="/>
  </w:docVars>
  <w:rsids>
    <w:rsidRoot w:val="00CB7F13"/>
    <w:rsid w:val="002D61E2"/>
    <w:rsid w:val="002E6A75"/>
    <w:rsid w:val="00466E11"/>
    <w:rsid w:val="006860E2"/>
    <w:rsid w:val="007268D9"/>
    <w:rsid w:val="00825B9D"/>
    <w:rsid w:val="008337FE"/>
    <w:rsid w:val="00835459"/>
    <w:rsid w:val="00952C79"/>
    <w:rsid w:val="00BD1512"/>
    <w:rsid w:val="00BD50EC"/>
    <w:rsid w:val="00BD6E34"/>
    <w:rsid w:val="00CB7F13"/>
    <w:rsid w:val="00E40186"/>
    <w:rsid w:val="00ED7AE6"/>
    <w:rsid w:val="013522A4"/>
    <w:rsid w:val="017D2051"/>
    <w:rsid w:val="04460B9F"/>
    <w:rsid w:val="04AD2274"/>
    <w:rsid w:val="05B51552"/>
    <w:rsid w:val="06120711"/>
    <w:rsid w:val="08335AAF"/>
    <w:rsid w:val="0855501C"/>
    <w:rsid w:val="09685755"/>
    <w:rsid w:val="0A1621AD"/>
    <w:rsid w:val="0D0B1910"/>
    <w:rsid w:val="0DCF2A80"/>
    <w:rsid w:val="0EF02C2B"/>
    <w:rsid w:val="14CF0BFF"/>
    <w:rsid w:val="1694674E"/>
    <w:rsid w:val="19351675"/>
    <w:rsid w:val="1B5A16AD"/>
    <w:rsid w:val="1F0C54FF"/>
    <w:rsid w:val="240829F5"/>
    <w:rsid w:val="242C76C2"/>
    <w:rsid w:val="247F127B"/>
    <w:rsid w:val="258A2BCB"/>
    <w:rsid w:val="25DB7022"/>
    <w:rsid w:val="27245C71"/>
    <w:rsid w:val="2A0575EC"/>
    <w:rsid w:val="2CEB7F5E"/>
    <w:rsid w:val="2D4F788B"/>
    <w:rsid w:val="2E76563A"/>
    <w:rsid w:val="32477BE7"/>
    <w:rsid w:val="35C16CA9"/>
    <w:rsid w:val="35C4739F"/>
    <w:rsid w:val="39FD71F0"/>
    <w:rsid w:val="3B843639"/>
    <w:rsid w:val="3E0D420B"/>
    <w:rsid w:val="3E9A483E"/>
    <w:rsid w:val="42697BEF"/>
    <w:rsid w:val="4982318B"/>
    <w:rsid w:val="558F4291"/>
    <w:rsid w:val="57083613"/>
    <w:rsid w:val="594B55E7"/>
    <w:rsid w:val="5B7F3AD8"/>
    <w:rsid w:val="5BA009C3"/>
    <w:rsid w:val="5C7D121E"/>
    <w:rsid w:val="5E000AC1"/>
    <w:rsid w:val="5EF04C21"/>
    <w:rsid w:val="6C306629"/>
    <w:rsid w:val="700B1B67"/>
    <w:rsid w:val="70CA2AB2"/>
    <w:rsid w:val="735A153A"/>
    <w:rsid w:val="78F040EB"/>
    <w:rsid w:val="7BF241C2"/>
    <w:rsid w:val="7C6B2956"/>
    <w:rsid w:val="7C9F0263"/>
    <w:rsid w:val="7D1E3F2A"/>
    <w:rsid w:val="7D324A5B"/>
    <w:rsid w:val="7EA65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qFormat="1" w:uiPriority="99" w:semiHidden="0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spacing w:line="570" w:lineRule="exact"/>
      <w:ind w:firstLine="562"/>
      <w:outlineLvl w:val="1"/>
    </w:pPr>
    <w:rPr>
      <w:rFonts w:ascii="楷体_GB2312" w:hAnsi="楷体_GB2312" w:eastAsia="楷体_GB2312"/>
      <w:sz w:val="32"/>
      <w:szCs w:val="28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Body Text 2"/>
    <w:basedOn w:val="1"/>
    <w:unhideWhenUsed/>
    <w:qFormat/>
    <w:uiPriority w:val="99"/>
    <w:pPr>
      <w:spacing w:after="120" w:line="480" w:lineRule="auto"/>
    </w:pPr>
  </w:style>
  <w:style w:type="paragraph" w:styleId="7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0">
    <w:name w:val="Hyperlink"/>
    <w:qFormat/>
    <w:uiPriority w:val="0"/>
    <w:rPr>
      <w:color w:val="0000FF"/>
      <w:u w:val="single"/>
    </w:rPr>
  </w:style>
  <w:style w:type="character" w:customStyle="1" w:styleId="11">
    <w:name w:val="批注框文本 Char"/>
    <w:basedOn w:val="9"/>
    <w:link w:val="3"/>
    <w:semiHidden/>
    <w:qFormat/>
    <w:uiPriority w:val="99"/>
    <w:rPr>
      <w:sz w:val="18"/>
      <w:szCs w:val="18"/>
    </w:rPr>
  </w:style>
  <w:style w:type="paragraph" w:customStyle="1" w:styleId="12">
    <w:name w:val="p0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4</Pages>
  <Words>1150</Words>
  <Characters>1341</Characters>
  <Lines>21</Lines>
  <Paragraphs>6</Paragraphs>
  <TotalTime>7</TotalTime>
  <ScaleCrop>false</ScaleCrop>
  <LinksUpToDate>false</LinksUpToDate>
  <CharactersWithSpaces>1405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2019-08-09T01:25:00Z</dcterms:created>
  <dc:creator>Administrator</dc:creator>
  <cp:lastModifiedBy>Grey</cp:lastModifiedBy>
  <cp:lastPrinted>2022-05-25T02:49:00Z</cp:lastPrinted>
  <dcterms:modified xsi:type="dcterms:W3CDTF">2022-08-03T06:36:31Z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369690503_embed</vt:lpwstr>
  </property>
  <property fmtid="{D5CDD505-2E9C-101B-9397-08002B2CF9AE}" pid="4" name="ICV">
    <vt:lpwstr>AF92B88ADC5148109ECEEE614E0BD4D6</vt:lpwstr>
  </property>
</Properties>
</file>