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2026年普法工作计划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贯彻实施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《中华人民共和国法治宣传教育法》，</w:t>
      </w:r>
      <w:r>
        <w:rPr>
          <w:rFonts w:hint="eastAsia" w:ascii="仿宋_GB2312" w:eastAsia="仿宋_GB2312"/>
          <w:color w:val="auto"/>
          <w:sz w:val="32"/>
          <w:szCs w:val="32"/>
        </w:rPr>
        <w:t>全面落实树立和践行正确政绩观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学习教育</w:t>
      </w:r>
      <w:r>
        <w:rPr>
          <w:rFonts w:hint="eastAsia" w:ascii="仿宋_GB2312" w:eastAsia="仿宋_GB2312"/>
          <w:color w:val="auto"/>
          <w:sz w:val="32"/>
          <w:szCs w:val="32"/>
        </w:rPr>
        <w:t>要求，紧密结合市场监管执法队伍“清风铁纪”教育整顿专项行动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（以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下简称“清风铁纪”教育整顿）</w:t>
      </w:r>
      <w:r>
        <w:rPr>
          <w:rFonts w:hint="eastAsia" w:ascii="仿宋_GB2312" w:eastAsia="仿宋_GB2312"/>
          <w:color w:val="auto"/>
          <w:sz w:val="32"/>
          <w:szCs w:val="32"/>
        </w:rPr>
        <w:t>、涉企行政执法规范化建设年行动部署，坚持以普法促规范、以规范强监管、以纪律树形象，持续提升全市市场监管系统依法行政水平和法治服务效能，结合工作实际，制定本计划。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一、总体要求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（一）指导思想。</w:t>
      </w:r>
      <w:r>
        <w:rPr>
          <w:rFonts w:hint="eastAsia" w:ascii="仿宋_GB2312" w:eastAsia="仿宋_GB2312"/>
          <w:color w:val="auto"/>
          <w:sz w:val="32"/>
          <w:szCs w:val="32"/>
        </w:rPr>
        <w:t>以习近平新时代中国特色社会主义思想为指导，全面贯彻党的二十大及二十届历次全会精神，深入践行习近平法治思想，牢牢把握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树立和践行</w:t>
      </w:r>
      <w:r>
        <w:rPr>
          <w:rFonts w:hint="eastAsia" w:ascii="仿宋_GB2312" w:eastAsia="仿宋_GB2312"/>
          <w:color w:val="auto"/>
          <w:sz w:val="32"/>
          <w:szCs w:val="32"/>
        </w:rPr>
        <w:t>正确政绩观内涵要求，坚持以人民为中心的发展思想，紧扣优化营商环境、规范涉企执法、锻造纪律严明执法队伍三大主线，将法治宣传教育融入执法全过程、各环节，推动普法工作与“清风铁纪”教育整顿、涉企行政执法规范化建设深度融合、一体推进，为全市经济社会高质量发展提供坚实法治保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（二）工作目标。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正确政绩观深入人心，全系统牢固树立“监管为民”理念，坚决杜绝重处罚轻服务、重数量轻质效、重形式轻实效等问题。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二是</w:t>
      </w:r>
      <w:r>
        <w:rPr>
          <w:rFonts w:hint="eastAsia" w:ascii="仿宋_GB2312" w:eastAsia="仿宋_GB2312"/>
          <w:color w:val="auto"/>
          <w:sz w:val="32"/>
          <w:szCs w:val="32"/>
        </w:rPr>
        <w:t>涉企行政执法行为全面规范，执法人员法治素养显著提升，乱罚款、乱检查、乱查封以及异地执法、趋利性执法等问题有效遏制，执法公信力持续增强。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三是</w:t>
      </w:r>
      <w:r>
        <w:rPr>
          <w:rFonts w:hint="eastAsia" w:ascii="仿宋_GB2312" w:eastAsia="仿宋_GB2312"/>
          <w:color w:val="auto"/>
          <w:sz w:val="32"/>
          <w:szCs w:val="32"/>
        </w:rPr>
        <w:t>执法队伍纪律作风持续向好，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color w:val="auto"/>
          <w:sz w:val="32"/>
          <w:szCs w:val="32"/>
        </w:rPr>
        <w:t>“清风铁纪”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教育整顿</w:t>
      </w:r>
      <w:r>
        <w:rPr>
          <w:rFonts w:hint="eastAsia" w:ascii="仿宋_GB2312" w:eastAsia="仿宋_GB2312"/>
          <w:color w:val="auto"/>
          <w:sz w:val="32"/>
          <w:szCs w:val="32"/>
        </w:rPr>
        <w:t>要求转化为普法与执法自觉，知敬畏、存戒惧、守底线成为普遍共识。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四是</w:t>
      </w:r>
      <w:r>
        <w:rPr>
          <w:rFonts w:hint="eastAsia" w:ascii="仿宋_GB2312" w:eastAsia="仿宋_GB2312"/>
          <w:color w:val="auto"/>
          <w:sz w:val="32"/>
          <w:szCs w:val="32"/>
        </w:rPr>
        <w:t>“谁执法谁普法”责任制落地见效，市场主体法治意识、合规能力明显提升，政企关系更加亲清和谐。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二、重点普法内容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（一）围绕树立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和践行</w:t>
      </w:r>
      <w:r>
        <w:rPr>
          <w:rFonts w:hint="eastAsia" w:ascii="楷体_GB2312" w:eastAsia="楷体_GB2312"/>
          <w:color w:val="auto"/>
          <w:sz w:val="32"/>
          <w:szCs w:val="32"/>
        </w:rPr>
        <w:t>正确政绩观，强化思想引领普法。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深入学习宣传习近平总书记关于树立和践行正确政绩观的重要论述，深刻理解高质量发展、依法行政、为民服务的政绩导向。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二是</w:t>
      </w:r>
      <w:r>
        <w:rPr>
          <w:rFonts w:hint="eastAsia" w:ascii="仿宋_GB2312" w:eastAsia="仿宋_GB2312"/>
          <w:color w:val="auto"/>
          <w:sz w:val="32"/>
          <w:szCs w:val="32"/>
        </w:rPr>
        <w:t>宣传党中央、省市委关于优化营商环境、规范涉企收费、减轻企业负担、保护市场主体等政策要求，引导全系统树立正确政绩观。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三是</w:t>
      </w:r>
      <w:r>
        <w:rPr>
          <w:rFonts w:hint="eastAsia" w:ascii="仿宋_GB2312" w:eastAsia="仿宋_GB2312"/>
          <w:color w:val="auto"/>
          <w:sz w:val="32"/>
          <w:szCs w:val="32"/>
        </w:rPr>
        <w:t>结合典型案例开展警示教育，宣传依法履职、审慎监管、柔性执法的先进典型，弘扬求真务实、担当作为的优良作风。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（二）聚焦涉企行政执法规范化，开展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科学执法</w:t>
      </w:r>
      <w:r>
        <w:rPr>
          <w:rFonts w:hint="eastAsia" w:ascii="楷体_GB2312" w:eastAsia="楷体_GB2312"/>
          <w:color w:val="auto"/>
          <w:sz w:val="32"/>
          <w:szCs w:val="32"/>
        </w:rPr>
        <w:t>普法。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重点学习宣传《行政处罚法》《行政强制法》《行政执法监督条例》等，严格规范执法程序、自由裁量权、涉企检查行为。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二是</w:t>
      </w:r>
      <w:r>
        <w:rPr>
          <w:rFonts w:hint="eastAsia" w:ascii="仿宋_GB2312" w:eastAsia="仿宋_GB2312"/>
          <w:color w:val="auto"/>
          <w:sz w:val="32"/>
          <w:szCs w:val="32"/>
        </w:rPr>
        <w:t>普及市场监管领域涉企执法规范：首违不罚、轻微免罚、审慎实施行政强制措施等制度规定，推广说理式执法、包容审慎监管。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三是</w:t>
      </w:r>
      <w:r>
        <w:rPr>
          <w:rFonts w:hint="eastAsia" w:ascii="仿宋_GB2312" w:eastAsia="仿宋_GB2312"/>
          <w:color w:val="auto"/>
          <w:sz w:val="32"/>
          <w:szCs w:val="32"/>
        </w:rPr>
        <w:t>宣传涉企行政执法“三项制度”（行政执法公示、执法全过程记录、重大执法决定法制审核），推动执法公开透明、合法规范。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四是</w:t>
      </w:r>
      <w:r>
        <w:rPr>
          <w:rFonts w:hint="eastAsia" w:ascii="仿宋_GB2312" w:eastAsia="仿宋_GB2312"/>
          <w:color w:val="auto"/>
          <w:sz w:val="32"/>
          <w:szCs w:val="32"/>
        </w:rPr>
        <w:t>强化对食品、药品、特种设备、产品质量、价格、广告、反不正当竞争等领域执法依据的普及，确保执法于法有据、尺度统一。</w:t>
      </w:r>
    </w:p>
    <w:p>
      <w:pPr>
        <w:spacing w:line="560" w:lineRule="exact"/>
        <w:ind w:firstLine="640" w:firstLineChars="200"/>
        <w:rPr>
          <w:rFonts w:hint="eastAsia"/>
          <w:color w:val="auto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（三）紧扣“清风铁纪”教育整顿，深化纪律规矩普法。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深入学习宣传《中国共产党纪律处分条例》《中华人民共和国公职人员政务处分法》等党内法规和国家法律，筑牢纪律防线。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二是</w:t>
      </w:r>
      <w:r>
        <w:rPr>
          <w:rFonts w:hint="eastAsia" w:ascii="仿宋_GB2312" w:eastAsia="仿宋_GB2312"/>
          <w:color w:val="auto"/>
          <w:sz w:val="32"/>
          <w:szCs w:val="32"/>
        </w:rPr>
        <w:t>普及市场监管执法人员廉洁执法、公正执法、文明执法行为规范，严禁吃拿卡要、违规干预经营等行为。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三是</w:t>
      </w:r>
      <w:r>
        <w:rPr>
          <w:rFonts w:hint="eastAsia" w:ascii="仿宋_GB2312" w:eastAsia="仿宋_GB2312"/>
          <w:color w:val="auto"/>
          <w:sz w:val="32"/>
          <w:szCs w:val="32"/>
        </w:rPr>
        <w:t>结合“清风铁纪”教育整顿要求，开展行政执法行为负面清单、执法领域廉政风险防控清单普法警示，强化对执法权力运行的监督制约。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四是</w:t>
      </w:r>
      <w:r>
        <w:rPr>
          <w:rFonts w:hint="eastAsia" w:ascii="仿宋_GB2312" w:eastAsia="仿宋_GB2312"/>
          <w:color w:val="auto"/>
          <w:sz w:val="32"/>
          <w:szCs w:val="32"/>
        </w:rPr>
        <w:t>宣传行政执法监督、行政复议、行政应诉相关规定，引导执法人员自觉接受监督、规范用权。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（四）统筹基础法治与业务法规，夯实全面普法根基。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持续开展宪法、民法典宣传教育，弘扬宪法精神，维护民事主体合法权益。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二是</w:t>
      </w:r>
      <w:r>
        <w:rPr>
          <w:rFonts w:hint="eastAsia" w:ascii="仿宋_GB2312" w:eastAsia="仿宋_GB2312"/>
          <w:color w:val="auto"/>
          <w:sz w:val="32"/>
          <w:szCs w:val="32"/>
        </w:rPr>
        <w:t>普及消费者权益保护、知识产权、计量、价格、认证认可等法规，提升社会公众和市场主体法治意识。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三是</w:t>
      </w:r>
      <w:r>
        <w:rPr>
          <w:rFonts w:hint="eastAsia" w:ascii="仿宋_GB2312" w:eastAsia="仿宋_GB2312"/>
          <w:color w:val="auto"/>
          <w:sz w:val="32"/>
          <w:szCs w:val="32"/>
        </w:rPr>
        <w:t>宣传青岛市品牌建设促进、农贸市场管理、活禽交易管理、电梯安全监管等地方性法规规章，服务地方治理现代化。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三、重点对象与普法举措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（一）面向执法队伍：以正确政绩观+清风铁纪+执法规范为核心。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开展专题法治纪律教育。将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树立和践行</w:t>
      </w:r>
      <w:r>
        <w:rPr>
          <w:rFonts w:hint="eastAsia" w:ascii="仿宋_GB2312" w:eastAsia="仿宋_GB2312"/>
          <w:color w:val="auto"/>
          <w:sz w:val="32"/>
          <w:szCs w:val="32"/>
        </w:rPr>
        <w:t>正确政绩观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学习教育</w:t>
      </w:r>
      <w:r>
        <w:rPr>
          <w:rFonts w:hint="eastAsia" w:ascii="仿宋_GB2312" w:eastAsia="仿宋_GB2312"/>
          <w:color w:val="auto"/>
          <w:sz w:val="32"/>
          <w:szCs w:val="32"/>
        </w:rPr>
        <w:t>、“清风铁纪”教育整顿、执法规范化内容纳入党组理论学习中心组、支部“三会一课”、全员培训，全年专题学习不少于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次，实现执法人员全覆盖。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二是</w:t>
      </w:r>
      <w:r>
        <w:rPr>
          <w:rFonts w:hint="eastAsia" w:ascii="仿宋_GB2312" w:eastAsia="仿宋_GB2312"/>
          <w:color w:val="auto"/>
          <w:sz w:val="32"/>
          <w:szCs w:val="32"/>
        </w:rPr>
        <w:t>深化以案为鉴。结合“清风铁纪”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教育整顿</w:t>
      </w:r>
      <w:r>
        <w:rPr>
          <w:rFonts w:hint="eastAsia" w:ascii="仿宋_GB2312" w:eastAsia="仿宋_GB2312"/>
          <w:color w:val="auto"/>
          <w:sz w:val="32"/>
          <w:szCs w:val="32"/>
        </w:rPr>
        <w:t>，选取系统内外违规执法、任性执法、违纪违法典型案例开展警示教育，用身边事教育身边人，引导树立正确权力观、政绩观。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三是</w:t>
      </w:r>
      <w:r>
        <w:rPr>
          <w:rFonts w:hint="eastAsia" w:ascii="仿宋_GB2312" w:eastAsia="仿宋_GB2312"/>
          <w:color w:val="auto"/>
          <w:sz w:val="32"/>
          <w:szCs w:val="32"/>
        </w:rPr>
        <w:t>组织执法规范化专项培训。围绕涉企行政执法规范化建设年行动，开展自由裁量权适用、涉企检查备案、柔性执法流程等专题培训，提升规范执法能力。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（二）面向市场主体：以问需帮扶+合规指导+法治沟通为重点。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开展“走千家、访万企”问需帮扶专项行动。结合涉企行政执法规范化建设，组织进园区、进商圈、进企业宣传市场监管法律法规中的禁止性规定和权利救济渠道，了解企业需求。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二是</w:t>
      </w:r>
      <w:r>
        <w:rPr>
          <w:rFonts w:hint="eastAsia" w:ascii="仿宋_GB2312" w:eastAsia="仿宋_GB2312"/>
          <w:color w:val="auto"/>
          <w:sz w:val="32"/>
          <w:szCs w:val="32"/>
        </w:rPr>
        <w:t>普及企业合规经营指引。针对食品生产经营、餐饮、特种设备使用、电商直播、广告、医疗器械经营等行业，编制发放合规手册，引导企业自觉守法、减少违法风险。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三是</w:t>
      </w:r>
      <w:r>
        <w:rPr>
          <w:rFonts w:hint="eastAsia" w:ascii="仿宋_GB2312" w:eastAsia="仿宋_GB2312"/>
          <w:color w:val="auto"/>
          <w:sz w:val="32"/>
          <w:szCs w:val="32"/>
        </w:rPr>
        <w:t>畅通政企法治沟通渠道。通过座谈会、问卷调查等形式，听取企业对执法规范化的意见建议，及时回应法治需求，构建亲清政商关系。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（三）面向社会公众：以消费维权+以案释法+共享共治为抓手。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开展集中普法。结合国际消费者权益日、世界知识产权日、世界计量日、化妆品安全科普宣传周、安全生产月、世界认可日、质量月、世界标准日、医疗器械安全宣传周、安全用药月等节点，开展普法活动。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二是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加强以案释法。通过典型案件发布，起到警示震慑作用，促进广大市场主体守法经营。</w:t>
      </w:r>
      <w:r>
        <w:rPr>
          <w:rFonts w:hint="eastAsia" w:ascii="仿宋_GB2312" w:eastAsia="仿宋_GB2312"/>
          <w:color w:val="auto"/>
          <w:sz w:val="32"/>
          <w:szCs w:val="32"/>
        </w:rPr>
        <w:t>利用新媒体平台制作普法短视频、图解等，宣传市场监管法律法规和队伍作风建设成效。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三是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推动共享共治。</w:t>
      </w:r>
      <w:r>
        <w:rPr>
          <w:rFonts w:hint="eastAsia" w:ascii="仿宋_GB2312" w:eastAsia="仿宋_GB2312"/>
          <w:color w:val="auto"/>
          <w:sz w:val="32"/>
          <w:szCs w:val="32"/>
        </w:rPr>
        <w:t>进社区、进校园、进乡村开展普法活动，提升群众安全意识和依法维权能力。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四、保障措施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kern w:val="0"/>
          <w:sz w:val="32"/>
          <w:szCs w:val="32"/>
        </w:rPr>
        <w:t>（一）提高思想认识。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市局各处室、直属单位要高度重视普法工作，紧紧围绕市局重点工作，</w:t>
      </w:r>
      <w:r>
        <w:rPr>
          <w:rFonts w:hint="eastAsia" w:ascii="仿宋_GB2312" w:eastAsia="仿宋_GB2312"/>
          <w:color w:val="auto"/>
          <w:sz w:val="32"/>
          <w:szCs w:val="32"/>
        </w:rPr>
        <w:t>推动普法工作与“清风铁纪”教育整顿、涉企行政执法规范化建设年行动深度融合。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（二）压实普法责任。</w:t>
      </w:r>
      <w:r>
        <w:rPr>
          <w:rFonts w:hint="eastAsia" w:ascii="仿宋_GB2312" w:eastAsia="仿宋_GB2312"/>
          <w:color w:val="auto"/>
          <w:sz w:val="32"/>
          <w:szCs w:val="32"/>
        </w:rPr>
        <w:t>严格落实“谁执法谁普法”责任制，制定普法责任清单，将普法任务与业务工作、教育整顿、执法规范相互融合推进，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确保普法工作有序开展，取得实效。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（三）注重宣传引导。</w:t>
      </w:r>
      <w:r>
        <w:rPr>
          <w:rFonts w:hint="eastAsia" w:ascii="仿宋_GB2312" w:eastAsia="仿宋_GB2312"/>
          <w:color w:val="auto"/>
          <w:sz w:val="32"/>
          <w:szCs w:val="32"/>
        </w:rPr>
        <w:t>及时总结推广树立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和践行</w:t>
      </w:r>
      <w:r>
        <w:rPr>
          <w:rFonts w:hint="eastAsia" w:ascii="仿宋_GB2312" w:eastAsia="仿宋_GB2312"/>
          <w:color w:val="auto"/>
          <w:sz w:val="32"/>
          <w:szCs w:val="32"/>
        </w:rPr>
        <w:t>正确政绩观、</w:t>
      </w: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</w:rPr>
        <w:t>清风铁纪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”教育整顿</w:t>
      </w:r>
      <w:r>
        <w:rPr>
          <w:rFonts w:hint="eastAsia" w:ascii="仿宋_GB2312" w:eastAsia="仿宋_GB2312"/>
          <w:color w:val="auto"/>
          <w:sz w:val="32"/>
          <w:szCs w:val="32"/>
        </w:rPr>
        <w:t>、规范涉企执法的普法经验做法，展现市场监管法治建设成效，营造良好舆论氛围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，努力使</w:t>
      </w:r>
      <w:r>
        <w:rPr>
          <w:rFonts w:eastAsia="仿宋_GB2312"/>
          <w:color w:val="auto"/>
          <w:kern w:val="0"/>
          <w:sz w:val="32"/>
          <w:szCs w:val="32"/>
        </w:rPr>
        <w:t>尊法学法守法用法在全社会蔚然成风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</w:p>
    <w:p>
      <w:pPr>
        <w:widowControl/>
        <w:autoSpaceDE w:val="0"/>
        <w:spacing w:line="560" w:lineRule="exact"/>
        <w:ind w:firstLine="420"/>
        <w:jc w:val="left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附件：青岛市市场监督管理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年普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法责任清单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青岛市市场监督管理局2026年普法责任清单</w:t>
      </w:r>
    </w:p>
    <w:p>
      <w:pPr>
        <w:pStyle w:val="2"/>
        <w:rPr>
          <w:rFonts w:hint="eastAsia"/>
        </w:rPr>
      </w:pPr>
    </w:p>
    <w:tbl>
      <w:tblPr>
        <w:tblStyle w:val="11"/>
        <w:tblW w:w="9860" w:type="dxa"/>
        <w:tblInd w:w="-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96"/>
        <w:gridCol w:w="7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责任部门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重点宣传教育培训的法律法规规章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办公室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《信息公开条例》《信访工作条例》等相关法律法规、中央八项规定及其实施细则精神、为基层减负相关规定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法规处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习近平法治思想和《宪法》《民法典》《行政处罚法》《行政强制法》《行政诉讼法》《行政复议法》《行政执法监督条例》《市场监督管理行政处罚案件违法所得认定办法》等通用法律法规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应急处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《市场监督管理投诉举报处理办法》等相关法律法规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信用处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《企业信息公示暂行条例》等相关法律法规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市场主体处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《公司法》《市场主体登记管理条例》《无证无照经营查处办法》等相关法律法规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价监处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《价格法》等相关法律法规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反不正当竞争处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《反不正当竞争法》《公平竞争审查条例》等相关法律法规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网监处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《网络交易监督管理办法》等相关法律法规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消保处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《消费者权益保护法》《消费者权益保护法实施条例》等相关法律法规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广告处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《广告法》等相关法律法规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食品协调处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《食品安全法》《食品安全法实施条例》《山东省食品安全条例》等相关法律法规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12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食品生产处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《食品安全法》《食品安全法实施条例》《山东省食品安全条例》等相关法律法规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食品流通处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《食品安全法》《食品安全法实施条例》《山东省食品安全条例》等相关法律法规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餐饮处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《食品安全法》《食品安全法实施条例》《山东省食品安全条例》等相关法律法规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15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特殊食品处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《食品安全法》《食品安全法实施条例》《山东省食品安全条例》等相关法律法规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16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药品市场处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《药品管理法》《药品管理法实施条例》《化妆品监督管理条例》等相关法律法规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17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药品使用处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《疫苗管理法》《药品管理法》《药品管理法实施条例》等相关法律法规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医疗器械处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《医疗器械监督管理条例》等相关法律法规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质量发展处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《青岛市品牌建设促进条例》等相关法律法规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质量监管处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《产品质量法》《工业产品生产许可证管理条例》等相关法律法规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21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产业服务处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《优化营商环境条例》等相关法律法规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22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农贸市场处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《青岛市农贸市场管理办法》等相关法律法规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23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特种设备处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《特种设备安全法》《特种设备安全监察条例》等相关法律法规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24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计量处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《计量法》《计量法实施细则》等相关法律法规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25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标准化处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《标准化法》《标准化法实施条例》等相关法律法规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认证认可处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《认证认可条例》《检验检测机构监督管理办法》等相关法律法规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27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产权保护处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《商标法》《专利法》《商标法实施条例》《专利法实施细则》《专利纠纷行政裁决和调解办法》等相关法律法规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28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产权促进处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《商标法》《专利法》《商标法实施条例》《专利法实施细则》等相关法律法规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29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个私处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《民营经济促进法》《促进个体工商户发展条例》等相关法律法规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30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外资处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《行政许可法》《公司法》《外商投资法》《市场主体登记管理条例》《公司登记管理实施办法》等相关法律法规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31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机关党委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机关纪委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《中国共产党章程》《中国共产党纪律处分条例》《关于新形势下党内政治生活的若干准则》等党规党纪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32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执法支队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黑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《行政处罚法》《行政强制法》《行政诉讼法》《行政复议法》《市场监督管理行政处罚案件违法所得认定办法》等执法办案相关法律法规和《市场监管执法行为规范》等文件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33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其他直属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7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>履职过程中涉及的市场监管（知识产权）相关法律法规</w:t>
            </w:r>
          </w:p>
        </w:tc>
      </w:tr>
    </w:tbl>
    <w:p>
      <w:pPr>
        <w:widowControl w:val="0"/>
        <w:wordWrap/>
        <w:overflowPunct w:val="0"/>
        <w:adjustRightInd/>
        <w:snapToGrid/>
        <w:spacing w:beforeAutospacing="0" w:afterAutospacing="0" w:line="560" w:lineRule="exact"/>
        <w:ind w:right="0"/>
        <w:textAlignment w:val="auto"/>
        <w:rPr>
          <w:rFonts w:ascii="Times New Roman" w:hAnsi="Times New Roman" w:cs="Times New Roman"/>
          <w:color w:val="000000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8306"/>
      </w:tabs>
      <w:ind w:right="83" w:rightChars="26"/>
      <w:jc w:val="right"/>
      <w:rPr>
        <w:rFonts w:ascii="宋体" w:cs="Times New Roman"/>
        <w:sz w:val="28"/>
        <w:szCs w:val="28"/>
      </w:rPr>
    </w:pPr>
    <w:r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5056505</wp:posOffset>
              </wp:positionH>
              <wp:positionV relativeFrom="paragraph">
                <wp:posOffset>0</wp:posOffset>
              </wp:positionV>
              <wp:extent cx="559435" cy="23495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43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left:398.15pt;margin-top:0pt;height:18.5pt;width:44.05pt;mso-position-horizontal-relative:margin;z-index:251660288;mso-width-relative:page;mso-height-relative:page;" filled="f" stroked="f" coordsize="21600,21600" o:gfxdata="UEsDBAoAAAAAAIdO4kAAAAAAAAAAAAAAAAAEAAAAZHJzL1BLAwQUAAAACACHTuJAleU3JdgAAAAH&#10;AQAADwAAAGRycy9kb3ducmV2LnhtbE2PzU7DMBCE70i8g7VI3KhdWrVJyKZC/KgcoUUq3NzYJBH2&#10;OordpvD0LCc4jmY08025OnknjnaIXSCE6USBsFQH01GD8Lp9vMpAxKTJaBfIInzZCKvq/KzUhQkj&#10;vdjjJjWCSygWGqFNqS+kjHVrvY6T0Fti7yMMXieWQyPNoEcu905eK7WQXnfEC63u7V1r68/NwSOs&#10;s/727Sl8j417eF/vnnf5/TZPiJcXU3UDItlT+gvDLz6jQ8VM+3AgE4VDWOaLGUcR+BHbWTafg9gj&#10;zJYKZFXK//zVD1BLAwQUAAAACACHTuJAkylZP7UBAABnAwAADgAAAGRycy9lMm9Eb2MueG1srVNL&#10;btswEN0X6B0I7mP6EweNYDkbI0WBIg2Q9gA0RVoE+MOQtuQLJDfIqpvuey6fo0Nadtp0k0U21HA4&#10;evPeG3Jx01tDdhKi9q6mk9GYEumEb7Tb1PTH99uLT5TExF3DjXeypnsZ6c3y44dFFyo59a03jQSC&#10;IC5WXahpm1KoGIuilZbHkQ/S4aHyYHnCLWxYA7xDdGvYdDy+Yp2HJoAXMkbMro6HdECEtwB6pbSQ&#10;Ky+2Vrp0RAVpeEJJsdUh0mVhq5QU6ZtSUSZiaopKU1mxCcbrvLLlglcb4KHVYqDA30LhlSbLtcOm&#10;Z6gVT5xsQf8HZbUAH71KI+EtOwopjqCKyfiVNw8tD7JoQatjOJse3w9W3O3ugeimpjNKHLc48MPz&#10;0+Hn78OvR3KV7elCrLDqIdzDsIsYZq29Apu/qIL0xdL92VLZJyIwOZ9fX87mlAg8ms4ur+fFcvby&#10;c4CYPktvSQ5qCjixYiTffY0JG2LpqST3cv5WG1OmZtw/CSzMGZb5HhnmKPXrfqC99s0etZovDv3L&#10;d+EUwClYn4JtAL1pkc4kO1Ag0f9CZrgrecB/70vVy/tY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V5Tcl2AAAAAcBAAAPAAAAAAAAAAEAIAAAACIAAABkcnMvZG93bnJldi54bWxQSwECFAAUAAAA&#10;CACHTuJAkylZP7UBAABnAwAADgAAAAAAAAABACAAAAAn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2652395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tabs>
                              <w:tab w:val="clear" w:pos="8306"/>
                            </w:tabs>
                            <w:ind w:right="83" w:rightChars="26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left:208.8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2RQehdQAAAAI&#10;AQAADwAAAGRycy9kb3ducmV2LnhtbE2PzU7DMBCE70i8g7VI3KidCEgUsukBqRIgLk37AG68+RH+&#10;iWK3KW/PcoLjaEYz39Tbq7PiQkucgkfINgoE+S6YyQ8Ix8PuoQQRk/ZG2+AJ4ZsibJvbm1pXJqx+&#10;T5c2DYJLfKw0wpjSXEkZu5Gcjpswk2evD4vTieUySLPolcudlblSz9LpyfPCqGd6Han7as8OQR7a&#10;3Vq2dlHhI+8/7fvbvqeAeH+XqRcQia7pLwy/+IwODTOdwtmbKCzCY1YUHEXgR2wX6onlCSEvSwWy&#10;qeX/A80PUEsDBBQAAAAIAIdO4kBrIr+csgEAAIgDAAAOAAAAZHJzL2Uyb0RvYy54bWytU9uK2zAQ&#10;fS/0H4TeGzlhaVMTZ1kIWwqlXdj2AxRZjgW6MaPEzt93JNvZdvuyD32x5yKfOedovLsfnWUXDWiC&#10;b/h6VXGmvQqt8aeG//r5+GHLGSbpW2mD1w2/auT3+/fvdkOs9Sb0wbYaGIF4rIfY8D6lWAuBqtdO&#10;4ipE7anZBXAyUQon0YIcCN1Zsamqj2II0EYISiNS9TA1+YwIbwEMXWeUPgR1dtqnCRW0lYkkYW8i&#10;8n1h23VapR9dhzox23BSmsqThlB8zE+x38n6BDL2Rs0U5FsovNLkpPE09AZ1kEmyM5h/oJxREDB0&#10;aaWCE5OQ4gipWFevvHnuZdRFC1mN8WY6/j9Y9f3yBMy0Dd9w5qWjC7+rPn/KvgwRa2o/xyeYM6Qw&#10;ixw7cPlN9NlYvLzevNRjYoqK6+1mu63IZkW9JSEc8fJ5BExfdHAsBw0Huqziobx8wzQdXY7kaT48&#10;GmupLmvr/yoQZq6IzHjimKM0HseZ+DG0V5I50D033NNac2a/erIxr8QSwBIcl+AcwZx6orYuvDA+&#10;nBORKNzyhAl2HkwXVNTNy5Q34M+8nHr5gf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kUHoXU&#10;AAAACAEAAA8AAAAAAAAAAQAgAAAAIgAAAGRycy9kb3ducmV2LnhtbFBLAQIUABQAAAAIAIdO4kBr&#10;Ir+csgEAAIgDAAAOAAAAAAAAAAEAIAAAACM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tabs>
                        <w:tab w:val="clear" w:pos="8306"/>
                      </w:tabs>
                      <w:ind w:right="83" w:rightChars="26"/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>
    <w:pPr>
      <w:pStyle w:val="7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zc0ODBjMmEzODcxYWQ0NWEzY2RiMjEzNDc3MjQifQ=="/>
  </w:docVars>
  <w:rsids>
    <w:rsidRoot w:val="00000000"/>
    <w:rsid w:val="0C883D02"/>
    <w:rsid w:val="0E266CD4"/>
    <w:rsid w:val="1A3B3221"/>
    <w:rsid w:val="27EA76CB"/>
    <w:rsid w:val="296F4861"/>
    <w:rsid w:val="2E440E4C"/>
    <w:rsid w:val="3CB77544"/>
    <w:rsid w:val="45C26551"/>
    <w:rsid w:val="4E3B238F"/>
    <w:rsid w:val="4F7819EC"/>
    <w:rsid w:val="75E95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 w:val="0"/>
      <w:spacing w:line="578" w:lineRule="exact"/>
      <w:jc w:val="both"/>
      <w:textAlignment w:val="center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Body Text First Indent 2"/>
    <w:basedOn w:val="2"/>
    <w:qFormat/>
    <w:uiPriority w:val="0"/>
    <w:pPr>
      <w:widowControl w:val="0"/>
      <w:adjustRightInd w:val="0"/>
      <w:spacing w:before="0" w:beforeAutospacing="0" w:after="0" w:afterAutospacing="0" w:line="578" w:lineRule="exact"/>
      <w:ind w:left="0" w:right="0" w:firstLine="200" w:firstLineChars="200"/>
      <w:jc w:val="both"/>
    </w:pPr>
    <w:rPr>
      <w:rFonts w:ascii="Times New Roman" w:hAnsi="Times New Roman" w:eastAsia="仿宋_GB2312" w:cs="Times New Roman"/>
      <w:kern w:val="0"/>
      <w:sz w:val="32"/>
      <w:szCs w:val="32"/>
      <w:lang w:val="en-US" w:eastAsia="zh-CN"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0064CA"/>
      <w:u w:val="none"/>
    </w:rPr>
  </w:style>
  <w:style w:type="character" w:styleId="15">
    <w:name w:val="Hyperlink"/>
    <w:qFormat/>
    <w:uiPriority w:val="0"/>
    <w:rPr>
      <w:color w:val="0064CA"/>
      <w:u w:val="none"/>
    </w:rPr>
  </w:style>
  <w:style w:type="paragraph" w:customStyle="1" w:styleId="16">
    <w:name w:val="默认段落字体 Para Char Char Char Char Char Char Char Char Char Char Char Char Char Char Char1 Char Char Char Char"/>
    <w:basedOn w:val="6"/>
    <w:qFormat/>
    <w:uiPriority w:val="0"/>
    <w:pPr>
      <w:adjustRightInd w:val="0"/>
      <w:spacing w:line="436" w:lineRule="exact"/>
      <w:ind w:left="357"/>
      <w:jc w:val="left"/>
      <w:outlineLvl w:val="3"/>
    </w:pPr>
    <w:rPr>
      <w:kern w:val="0"/>
      <w:sz w:val="20"/>
      <w:szCs w:val="20"/>
    </w:rPr>
  </w:style>
  <w:style w:type="paragraph" w:customStyle="1" w:styleId="17">
    <w:name w:val="CM10"/>
    <w:qFormat/>
    <w:uiPriority w:val="0"/>
    <w:rPr>
      <w:rFonts w:ascii="Calibri" w:hAnsi="Calibri" w:eastAsia="宋体" w:cs="Times New Roman"/>
      <w:color w:val="auto"/>
      <w:sz w:val="20"/>
      <w:szCs w:val="20"/>
      <w:lang w:val="en-US" w:eastAsia="zh-CN" w:bidi="ar-SA"/>
    </w:rPr>
  </w:style>
  <w:style w:type="paragraph" w:customStyle="1" w:styleId="18">
    <w:name w:val="列出段落"/>
    <w:basedOn w:val="1"/>
    <w:qFormat/>
    <w:uiPriority w:val="0"/>
    <w:pPr>
      <w:ind w:firstLine="420"/>
    </w:pPr>
  </w:style>
  <w:style w:type="character" w:customStyle="1" w:styleId="19">
    <w:name w:val="heading 1 Char"/>
    <w:basedOn w:val="12"/>
    <w:link w:val="3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heading 2 Char"/>
    <w:basedOn w:val="12"/>
    <w:link w:val="4"/>
    <w:qFormat/>
    <w:uiPriority w:val="0"/>
    <w:rPr>
      <w:rFonts w:ascii="宋体" w:hAnsi="宋体" w:eastAsia="仿宋_GB2312" w:cs="Times New Roman"/>
      <w:b/>
      <w:kern w:val="0"/>
      <w:sz w:val="36"/>
      <w:szCs w:val="36"/>
      <w:lang w:val="en-US" w:eastAsia="zh-CN" w:bidi="ar-SA"/>
    </w:rPr>
  </w:style>
  <w:style w:type="character" w:customStyle="1" w:styleId="21">
    <w:name w:val="heading 3 Char"/>
    <w:basedOn w:val="12"/>
    <w:link w:val="5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not([class*=suffix])"/>
    <w:qFormat/>
    <w:uiPriority w:val="0"/>
    <w:rPr>
      <w:sz w:val="19"/>
      <w:szCs w:val="19"/>
    </w:rPr>
  </w:style>
  <w:style w:type="character" w:customStyle="1" w:styleId="23">
    <w:name w:val="edui-clickable2"/>
    <w:qFormat/>
    <w:uiPriority w:val="0"/>
    <w:rPr>
      <w:color w:val="0000FF"/>
      <w:u w:val="single"/>
    </w:rPr>
  </w:style>
  <w:style w:type="character" w:customStyle="1" w:styleId="24">
    <w:name w:val="not([class*=suffix])1"/>
    <w:qFormat/>
    <w:uiPriority w:val="0"/>
  </w:style>
  <w:style w:type="character" w:customStyle="1" w:styleId="25">
    <w:name w:val="edui-clickable"/>
    <w:qFormat/>
    <w:uiPriority w:val="0"/>
    <w:rPr>
      <w:color w:val="0000FF"/>
      <w:u w:val="single"/>
    </w:rPr>
  </w:style>
  <w:style w:type="character" w:customStyle="1" w:styleId="26">
    <w:name w:val="edui-unclickable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3814</Words>
  <Characters>3847</Characters>
  <Lines>0</Lines>
  <Paragraphs>46</Paragraphs>
  <TotalTime>10</TotalTime>
  <ScaleCrop>false</ScaleCrop>
  <LinksUpToDate>false</LinksUpToDate>
  <CharactersWithSpaces>3847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2025-03-03T03:02:00Z</dcterms:created>
  <dc:creator>HP</dc:creator>
  <cp:lastModifiedBy>Lawyer</cp:lastModifiedBy>
  <cp:lastPrinted>2026-04-15T10:04:00Z</cp:lastPrinted>
  <dcterms:modified xsi:type="dcterms:W3CDTF">2026-04-16T09:00:25Z</dcterms:modified>
  <dc:title>青岛市市场监督管理局关于印发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7DA8A4118220400A948224003B70BB83</vt:lpwstr>
  </property>
</Properties>
</file>