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3614" w:type="dxa"/>
        <w:tblInd w:w="0" w:type="dxa"/>
        <w:shd w:val="clear" w:color="auto" w:fill="auto"/>
        <w:tblLayout w:type="autofit"/>
        <w:tblCellMar>
          <w:top w:w="0" w:type="dxa"/>
          <w:left w:w="0" w:type="dxa"/>
          <w:bottom w:w="0" w:type="dxa"/>
          <w:right w:w="0" w:type="dxa"/>
        </w:tblCellMar>
      </w:tblPr>
      <w:tblGrid>
        <w:gridCol w:w="674"/>
        <w:gridCol w:w="1654"/>
        <w:gridCol w:w="2126"/>
        <w:gridCol w:w="3324"/>
        <w:gridCol w:w="3004"/>
        <w:gridCol w:w="1566"/>
        <w:gridCol w:w="1266"/>
      </w:tblGrid>
      <w:tr>
        <w:tblPrEx>
          <w:tblCellMar>
            <w:top w:w="0" w:type="dxa"/>
            <w:left w:w="0" w:type="dxa"/>
            <w:bottom w:w="0" w:type="dxa"/>
            <w:right w:w="0" w:type="dxa"/>
          </w:tblCellMar>
        </w:tblPrEx>
        <w:trPr>
          <w:trHeight w:val="1660" w:hRule="atLeast"/>
        </w:trPr>
        <w:tc>
          <w:tcPr>
            <w:tcW w:w="13614" w:type="dxa"/>
            <w:gridSpan w:val="7"/>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kern w:val="0"/>
                <w:sz w:val="48"/>
                <w:szCs w:val="48"/>
                <w:u w:val="none"/>
                <w:lang w:val="en-US" w:eastAsia="zh-CN" w:bidi="ar"/>
              </w:rPr>
            </w:pPr>
            <w:bookmarkStart w:id="0" w:name="_GoBack"/>
            <w:bookmarkEnd w:id="0"/>
            <w:r>
              <w:rPr>
                <w:rFonts w:hint="eastAsia" w:ascii="方正小标宋_GBK" w:hAnsi="方正小标宋_GBK" w:eastAsia="方正小标宋_GBK" w:cs="方正小标宋_GBK"/>
                <w:i w:val="0"/>
                <w:color w:val="000000"/>
                <w:kern w:val="0"/>
                <w:sz w:val="48"/>
                <w:szCs w:val="48"/>
                <w:u w:val="none"/>
                <w:lang w:val="en-US" w:eastAsia="zh-CN" w:bidi="ar"/>
              </w:rPr>
              <w:t>青岛市市场监督管理局2026年度涉企行政检查计划</w:t>
            </w:r>
          </w:p>
          <w:p>
            <w:pPr>
              <w:keepNext w:val="0"/>
              <w:keepLines w:val="0"/>
              <w:widowControl/>
              <w:suppressLineNumbers w:val="0"/>
              <w:jc w:val="center"/>
              <w:textAlignment w:val="center"/>
              <w:rPr>
                <w:rFonts w:ascii="方正小标宋_GBK" w:hAnsi="方正小标宋_GBK" w:eastAsia="方正小标宋_GBK" w:cs="方正小标宋_GBK"/>
                <w:i w:val="0"/>
                <w:color w:val="000000"/>
                <w:sz w:val="48"/>
                <w:szCs w:val="48"/>
                <w:u w:val="none"/>
              </w:rPr>
            </w:pPr>
            <w:r>
              <w:rPr>
                <w:rStyle w:val="11"/>
                <w:rFonts w:hAnsi="方正小标宋_GBK"/>
                <w:lang w:val="en-US" w:eastAsia="zh-CN" w:bidi="ar"/>
              </w:rPr>
              <w:t>（不包含“双随机、一公开”抽查检查）</w:t>
            </w:r>
          </w:p>
        </w:tc>
      </w:tr>
      <w:tr>
        <w:tblPrEx>
          <w:shd w:val="clear" w:color="auto" w:fill="auto"/>
          <w:tblCellMar>
            <w:top w:w="0" w:type="dxa"/>
            <w:left w:w="0" w:type="dxa"/>
            <w:bottom w:w="0" w:type="dxa"/>
            <w:right w:w="0" w:type="dxa"/>
          </w:tblCellMar>
        </w:tblPrEx>
        <w:trPr>
          <w:trHeight w:val="17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目标任务</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检查范围</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检查内容</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检查依据</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检查形式</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月度时间安排</w:t>
            </w:r>
          </w:p>
        </w:tc>
      </w:tr>
      <w:tr>
        <w:tblPrEx>
          <w:tblCellMar>
            <w:top w:w="0" w:type="dxa"/>
            <w:left w:w="0" w:type="dxa"/>
            <w:bottom w:w="0" w:type="dxa"/>
            <w:right w:w="0" w:type="dxa"/>
          </w:tblCellMar>
        </w:tblPrEx>
        <w:trPr>
          <w:trHeight w:val="17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整治涉企乱收费检查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政府部门及下属单位、中介机构、金融机构、水电气暖领域</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聚焦政府部门及下属单位、中介机构、金融机构以及水电气暖领域乱收费行为</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国务院办公厅印发《关于建立健全涉企收费长效监管机制的指导意见》</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执法人员检查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5月-11月</w:t>
            </w:r>
          </w:p>
        </w:tc>
      </w:tr>
      <w:tr>
        <w:tblPrEx>
          <w:tblCellMar>
            <w:top w:w="0" w:type="dxa"/>
            <w:left w:w="0" w:type="dxa"/>
            <w:bottom w:w="0" w:type="dxa"/>
            <w:right w:w="0" w:type="dxa"/>
          </w:tblCellMar>
        </w:tblPrEx>
        <w:trPr>
          <w:trHeight w:val="18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教育收费专项检查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中小学、职业教育</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聚焦中小学、职业教育等重点领域，重点检查超范围、超标准收取服务性收费和代收费、强制培训并收费等行为，有效解决教育收费中群众反映强烈的突出问题</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山东省市场监督管理局2026年工作重点</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执法人员检查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5月-11月</w:t>
            </w:r>
          </w:p>
        </w:tc>
      </w:tr>
      <w:tr>
        <w:tblPrEx>
          <w:shd w:val="clear" w:color="auto" w:fill="auto"/>
          <w:tblCellMar>
            <w:top w:w="0" w:type="dxa"/>
            <w:left w:w="0" w:type="dxa"/>
            <w:bottom w:w="0" w:type="dxa"/>
            <w:right w:w="0" w:type="dxa"/>
          </w:tblCellMar>
        </w:tblPrEx>
        <w:trPr>
          <w:trHeight w:val="16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涉“泰山石”市场交易行为监督检查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每区市2-3家奇石交易场所</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对奇石市场、奇石交易集中的场所开展假借“泰山石”名义销售奇石行为监督检查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《反不正当竞争法》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《广告法》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《消费者权益保护法》</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tblCellMar>
            <w:top w:w="0" w:type="dxa"/>
            <w:left w:w="0" w:type="dxa"/>
            <w:bottom w:w="0" w:type="dxa"/>
            <w:right w:w="0" w:type="dxa"/>
          </w:tblCellMar>
        </w:tblPrEx>
        <w:trPr>
          <w:trHeight w:val="14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对食品（含食品添加剂，不含特殊食品）生产企业的监督检查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食品（含食品添加剂，不含特殊食品）生产企业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食品生产企业食品安全方面的检查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《食品生产经营监督检查管理办法》</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现场检查、远程检查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shd w:val="clear" w:color="auto" w:fill="auto"/>
          <w:tblCellMar>
            <w:top w:w="0" w:type="dxa"/>
            <w:left w:w="0" w:type="dxa"/>
            <w:bottom w:w="0" w:type="dxa"/>
            <w:right w:w="0" w:type="dxa"/>
          </w:tblCellMar>
        </w:tblPrEx>
        <w:trPr>
          <w:trHeight w:val="12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对食品小作坊监督检查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食品小作坊</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食品小作坊食品安全方面的检查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《食品生产许可管理办法》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《山东省食品小作坊小餐饮和食品摊点管理条例》</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shd w:val="clear" w:color="auto" w:fill="auto"/>
          <w:tblCellMar>
            <w:top w:w="0" w:type="dxa"/>
            <w:left w:w="0" w:type="dxa"/>
            <w:bottom w:w="0" w:type="dxa"/>
            <w:right w:w="0" w:type="dxa"/>
          </w:tblCellMar>
        </w:tblPrEx>
        <w:trPr>
          <w:trHeight w:val="33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对大型食品销售连锁企业开展体系检查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大型食品销售连锁企业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对大型连锁食品销售企业履行食品安全主体责任等方面合法合规情况开展体系检查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《食品销售连锁企业落实食品安全主体责任监督管理规定》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《市场监管总局办公厅关于开展大型食品销售企业食品安全管理合法合规体系检查工作的通知》（市监食经发〔2023〕20号）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4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开展食品和食用农产品销售者监督检查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食品和食用农产品销售者</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对食品和食用农产品销售者开展检查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《食用农产品市场销售质量安全监督管理办法》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上级部门关于做好相关节假日期间有关工作的部署要求</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19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对网络食品交易第三方平台提供者、入网食品销售者的食品安全监督检查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网络食品交易第三方平台提供者、入网食品销售者</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检查网络食品交易第三方平台提供者、入网食品销售者食品安全主体责任落实情况</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《企业落实食品安全主体责任监督管理规定》</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15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对连锁餐饮服务企业总部开展检查</w:t>
            </w:r>
          </w:p>
        </w:tc>
        <w:tc>
          <w:tcPr>
            <w:tcW w:w="21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饮服务提供者资质、信息公示、从业人员健康管理、原料控制（含食品添加剂、食品相关产品）、加工制作过程、食品添加剂使用管理、备餐、供餐与配送、场所和设备设施清洁维护、餐饮具清洗消毒、食品安全管理、制止餐饮浪费</w:t>
            </w:r>
          </w:p>
        </w:tc>
        <w:tc>
          <w:tcPr>
            <w:tcW w:w="30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《山东省连锁餐饮服务食品安全监督管理办法》（鲁市监餐食规字〔2024〕9号）</w:t>
            </w:r>
          </w:p>
        </w:tc>
        <w:tc>
          <w:tcPr>
            <w:tcW w:w="15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tblCellMar>
            <w:top w:w="0" w:type="dxa"/>
            <w:left w:w="0" w:type="dxa"/>
            <w:bottom w:w="0" w:type="dxa"/>
            <w:right w:w="0" w:type="dxa"/>
          </w:tblCellMar>
        </w:tblPrEx>
        <w:trPr>
          <w:trHeight w:val="28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重要节假日、重点餐饮服务单位食品安全检查</w:t>
            </w:r>
          </w:p>
        </w:tc>
        <w:tc>
          <w:tcPr>
            <w:tcW w:w="21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饮服务提供者资质、信息公示、从业人员健康管理、原料控制（含食品添加剂、食品相关产品）、加工制作过程、食品添加剂使用管理、备餐、供餐与配送、场所和设备设施清洁维护、餐饮具清洗消毒、食品安全管理、制止餐饮浪费</w:t>
            </w:r>
          </w:p>
        </w:tc>
        <w:tc>
          <w:tcPr>
            <w:tcW w:w="30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上级部门关于做好相关节假日期间有关工作的部署要求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上级交办的重大活动保障监管的通知要求</w:t>
            </w:r>
          </w:p>
        </w:tc>
        <w:tc>
          <w:tcPr>
            <w:tcW w:w="15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tblCellMar>
            <w:top w:w="0" w:type="dxa"/>
            <w:left w:w="0" w:type="dxa"/>
            <w:bottom w:w="0" w:type="dxa"/>
            <w:right w:w="0" w:type="dxa"/>
          </w:tblCellMar>
        </w:tblPrEx>
        <w:trPr>
          <w:trHeight w:val="27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联合教育、卫健等部门对校外供餐单位食品安全管理状况开展检查</w:t>
            </w:r>
          </w:p>
        </w:tc>
        <w:tc>
          <w:tcPr>
            <w:tcW w:w="21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饮服务提供者资质、信息公示、从业人员健康管理、原料控制（含食品添加剂、食品相关产品）、加工制作过程、食品添加剂使用管理、备餐、供餐与配送、场所和设备设施清洁维护、餐饮具清洗消毒、食品安全管理、制止餐饮浪费</w:t>
            </w:r>
          </w:p>
        </w:tc>
        <w:tc>
          <w:tcPr>
            <w:tcW w:w="30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中纪委机关、总局等7部委《关于加强中小学校园食品安全和膳食经费管理监督的指导意见》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《山东省学校食堂食品安全检查办法》（鲁市监餐食规字〔2021〕16号）</w:t>
            </w:r>
          </w:p>
        </w:tc>
        <w:tc>
          <w:tcPr>
            <w:tcW w:w="15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tblCellMar>
            <w:top w:w="0" w:type="dxa"/>
            <w:left w:w="0" w:type="dxa"/>
            <w:bottom w:w="0" w:type="dxa"/>
            <w:right w:w="0" w:type="dxa"/>
          </w:tblCellMar>
        </w:tblPrEx>
        <w:trPr>
          <w:trHeight w:val="2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对餐饮服务经营者的行政检查</w:t>
            </w:r>
          </w:p>
        </w:tc>
        <w:tc>
          <w:tcPr>
            <w:tcW w:w="21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餐饮服务提供者资质、信息公示、从业人员健康管理、原料控制（含食品添加剂、食品相关产品）、加工制作过程、食品添加剂使用管理、备餐、供餐与配送、场所和设备设施清洁维护、餐饮具清洗消毒、食品安全管理、制止餐饮浪费</w:t>
            </w:r>
          </w:p>
        </w:tc>
        <w:tc>
          <w:tcPr>
            <w:tcW w:w="30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《市场监管总局办公厅关于开展食品经营风险分级管理工作的指导意见》</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《山东省餐饮服务风险分级管理工作实施方案》</w:t>
            </w:r>
          </w:p>
        </w:tc>
        <w:tc>
          <w:tcPr>
            <w:tcW w:w="15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r>
        <w:tblPrEx>
          <w:shd w:val="clear" w:color="auto" w:fill="auto"/>
          <w:tblCellMar>
            <w:top w:w="0" w:type="dxa"/>
            <w:left w:w="0" w:type="dxa"/>
            <w:bottom w:w="0" w:type="dxa"/>
            <w:right w:w="0" w:type="dxa"/>
          </w:tblCellMar>
        </w:tblPrEx>
        <w:trPr>
          <w:trHeight w:val="25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对特殊食品生产企业食品安全事项的监督检查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特殊食品生产企业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《食品生产经营监督检查管理办法》规定的监督检查要点</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《2025年省级特殊食品抽检监测工作方案》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省局《关于进一步规范特殊食品生产经营风险分级管理工作的通知》</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5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对特殊食品经营企业食品安全事项的监督检查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特殊食品经营企业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《食品生产经营监督检查管理办法》规定的监督检查要点</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《食品生产经营监督检查管理办法》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《2025年省级特殊食品抽检监测工作方案》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省局《关于进一步规范特殊食品生产经营风险分级管理工作的通知》</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5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药品零售企业监督检查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药品零售药店</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是否违反药品经营质量管理规范</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《药品管理法》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《药品经营和使用质量监督管理办法》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《药品经营质量管理规范》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《山东省药品零售企业分级分类管理办法》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《山东省药品网络销售监督管理实施办法》</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2月-12月</w:t>
            </w:r>
          </w:p>
        </w:tc>
      </w:tr>
      <w:tr>
        <w:tblPrEx>
          <w:shd w:val="clear" w:color="auto" w:fill="auto"/>
          <w:tblCellMar>
            <w:top w:w="0" w:type="dxa"/>
            <w:left w:w="0" w:type="dxa"/>
            <w:bottom w:w="0" w:type="dxa"/>
            <w:right w:w="0" w:type="dxa"/>
          </w:tblCellMar>
        </w:tblPrEx>
        <w:trPr>
          <w:trHeight w:val="9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化妆品经营企业监督检查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化妆品经营企业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是否违反化妆品生产经营监督管理办法</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《化妆品监督管理条例》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《化妆品生产经营监督管理办法》</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2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对药品使用单位的检查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药品使用单位、疾控机构、疫苗接种单位</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依法对使用药品的质量进行检查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《药品管理法》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《疫苗管理法》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《药品经营和使用质量监督管理办法》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《山东省药品使用条例》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《山东省疫苗流通质量监督检查办法》等</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8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对医疗器械经营企业的检查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医疗器械经营质量管理规范执行情况的检查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《医疗器械监督管理条例》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《医疗器械经营监督管理办法》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《医疗器械经营质量管理规范》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《医疗器械经营质量管理规范现场检查指导原则》</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《山东省医疗器械经营条件若干细化规定（试行）》</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对第一类医疗器械生产企业的检查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医疗器械生产质量管理规范执行情况的检查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《医疗器械监督管理条例》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《医疗器械生产监督管理办法》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《医疗器械生产质量管理规范》</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《医疗器械生产质量管理规范现场检查指导原则》</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3月-12月</w:t>
            </w:r>
          </w:p>
        </w:tc>
      </w:tr>
      <w:tr>
        <w:tblPrEx>
          <w:shd w:val="clear" w:color="auto" w:fill="auto"/>
          <w:tblCellMar>
            <w:top w:w="0" w:type="dxa"/>
            <w:left w:w="0" w:type="dxa"/>
            <w:bottom w:w="0" w:type="dxa"/>
            <w:right w:w="0" w:type="dxa"/>
          </w:tblCellMar>
        </w:tblPrEx>
        <w:trPr>
          <w:trHeight w:val="20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棉花等纤维质量公证检验监督检查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棉花质量公证检验证书和公证检验标志是否与实物相符；专业纤维检验机构实施的棉花质量公证检验是否客观、公正、及时。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《棉花质量监督管理条例》</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现场检查（执法人员与技术机构共同检查）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根据公检时间而定</w:t>
            </w:r>
          </w:p>
        </w:tc>
      </w:tr>
      <w:tr>
        <w:tblPrEx>
          <w:shd w:val="clear" w:color="auto" w:fill="auto"/>
          <w:tblCellMar>
            <w:top w:w="0" w:type="dxa"/>
            <w:left w:w="0" w:type="dxa"/>
            <w:bottom w:w="0" w:type="dxa"/>
            <w:right w:w="0" w:type="dxa"/>
          </w:tblCellMar>
        </w:tblPrEx>
        <w:trPr>
          <w:trHeight w:val="6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重点工业产品生产销售单位监督检查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企业、个体工商户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工业产品生产销售单位落实质量安全主体责任落实情况、生产许可条件保持情况等</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《产品质量法》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《工业产品生产许可证管理条例及实施办法》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《国务院关于调整完善工业产品生产许可证管理目录的决定》（国发〔2024〕11号）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总局《关于加强工业产品生产许可证管理的通知》（国市监质监发〔2024〕65号）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《食品相关产品质量安全监督管理暂行办法》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《工业产品生产单位落实质量安全主体责任监督管理规定》《工业产品销售单位落实质量安全主体责任监督管理规定》</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市场监管总局关于印发《重点工业产品质量安全隐患排查治理三年行动方案（2025—2027年）》的通知（国市监质监发〔2025〕74 号）等</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现场检查（执法人员检查或执法人员与技术机构共同检查）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1-12月</w:t>
            </w:r>
          </w:p>
        </w:tc>
      </w:tr>
      <w:tr>
        <w:tblPrEx>
          <w:shd w:val="clear" w:color="auto" w:fill="auto"/>
          <w:tblCellMar>
            <w:top w:w="0" w:type="dxa"/>
            <w:left w:w="0" w:type="dxa"/>
            <w:bottom w:w="0" w:type="dxa"/>
            <w:right w:w="0" w:type="dxa"/>
          </w:tblCellMar>
        </w:tblPrEx>
        <w:trPr>
          <w:trHeight w:val="17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对农贸市场进行综合检查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农贸市场</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基本要求、设备设施、交易秩序、环境卫生、安全生产、食品安全</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青岛市农贸市场管理办法</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市局半年1次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区（市）局每季度1次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监管所半月1次</w:t>
            </w:r>
          </w:p>
        </w:tc>
      </w:tr>
      <w:tr>
        <w:tblPrEx>
          <w:shd w:val="clear" w:color="auto" w:fill="auto"/>
          <w:tblCellMar>
            <w:top w:w="0" w:type="dxa"/>
            <w:left w:w="0" w:type="dxa"/>
            <w:bottom w:w="0" w:type="dxa"/>
            <w:right w:w="0" w:type="dxa"/>
          </w:tblCellMar>
        </w:tblPrEx>
        <w:trPr>
          <w:trHeight w:val="242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对农贸市场进行安全生产检查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农贸市场</w:t>
            </w:r>
          </w:p>
        </w:tc>
        <w:tc>
          <w:tcPr>
            <w:tcW w:w="332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违规住人、消防通道、消防设施、燃气安全、电线电缆、电动车、电器使用、禁止吸烟、烟花爆竹、履职情况、粉尘爆燃</w:t>
            </w:r>
          </w:p>
        </w:tc>
        <w:tc>
          <w:tcPr>
            <w:tcW w:w="3004"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青岛市农贸市场管理办法</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多部门联合现场检查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1-12月</w:t>
            </w:r>
          </w:p>
        </w:tc>
      </w:tr>
      <w:tr>
        <w:tblPrEx>
          <w:shd w:val="clear" w:color="auto" w:fill="auto"/>
          <w:tblCellMar>
            <w:top w:w="0" w:type="dxa"/>
            <w:left w:w="0" w:type="dxa"/>
            <w:bottom w:w="0" w:type="dxa"/>
            <w:right w:w="0" w:type="dxa"/>
          </w:tblCellMar>
        </w:tblPrEx>
        <w:trPr>
          <w:trHeight w:val="216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特种设备获证单位证后监督抽查</w:t>
            </w:r>
          </w:p>
        </w:tc>
        <w:tc>
          <w:tcPr>
            <w:tcW w:w="2126"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特种设备生产、充装单位和检验、检测机构</w:t>
            </w:r>
          </w:p>
        </w:tc>
        <w:tc>
          <w:tcPr>
            <w:tcW w:w="0" w:type="auto"/>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按山东省市场监督管理局要求开展</w:t>
            </w:r>
          </w:p>
        </w:tc>
        <w:tc>
          <w:tcPr>
            <w:tcW w:w="300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《特种设备安全监督检查办法》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总局办公厅《关于实施&lt;特种设备安全监督检查办法&gt;若干问题的意见》（市监特设发〔2022〕59号）</w:t>
            </w:r>
          </w:p>
        </w:tc>
        <w:tc>
          <w:tcPr>
            <w:tcW w:w="1566"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现场检查（按省局部署配合开展）</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3-12月</w:t>
            </w:r>
          </w:p>
        </w:tc>
      </w:tr>
      <w:tr>
        <w:tblPrEx>
          <w:tblCellMar>
            <w:top w:w="0" w:type="dxa"/>
            <w:left w:w="0" w:type="dxa"/>
            <w:bottom w:w="0" w:type="dxa"/>
            <w:right w:w="0" w:type="dxa"/>
          </w:tblCellMar>
        </w:tblPrEx>
        <w:trPr>
          <w:trHeight w:val="408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特种设备重点生产、使用单位及特种设备检验检测机构监督抽查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特种设备重点生产、使用单位及特种设备检验检测机构</w:t>
            </w:r>
          </w:p>
        </w:tc>
        <w:tc>
          <w:tcPr>
            <w:tcW w:w="332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按《〈特种设备安全监督检查办法〉及实施意见》进行检查</w:t>
            </w:r>
          </w:p>
        </w:tc>
        <w:tc>
          <w:tcPr>
            <w:tcW w:w="3004"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《特种设备安全法》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《特种设备安全监督检查办法》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总局办公厅《关于实施&lt;特种设备安全监督检查办法&gt;若干问题的意见》（市监特设发〔2022〕59号）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《特种设备生产单位落实质量安全主体责任监督管理规定》（市场监管总局令第73号）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《特种设备使用单位落实使用安全主体责任监督管理规定》（市场监管总局令第74号）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4-12月</w:t>
            </w:r>
          </w:p>
        </w:tc>
      </w:tr>
      <w:tr>
        <w:tblPrEx>
          <w:shd w:val="clear" w:color="auto" w:fill="auto"/>
          <w:tblCellMar>
            <w:top w:w="0" w:type="dxa"/>
            <w:left w:w="0" w:type="dxa"/>
            <w:bottom w:w="0" w:type="dxa"/>
            <w:right w:w="0" w:type="dxa"/>
          </w:tblCellMar>
        </w:tblPrEx>
        <w:trPr>
          <w:trHeight w:val="390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5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特种设备常规监督检查</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特种设备生产、使用单位</w:t>
            </w:r>
          </w:p>
        </w:tc>
        <w:tc>
          <w:tcPr>
            <w:tcW w:w="33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按《〈特种设备安全监督检查办法〉及实施意见》进行检查</w:t>
            </w:r>
          </w:p>
        </w:tc>
        <w:tc>
          <w:tcPr>
            <w:tcW w:w="30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《特种设备安全监督检查办法》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总局办公厅《关于实施&lt;特种设备安全监督检查办法&gt;若干问题的意见》（市监特设发〔2022〕59号）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《特种设备生产单位落实质量安全主体责任监督管理规定》（市场监管总局令第73号）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《特种设备使用单位落实使用安全主体责任监督管理规定》（市场监管总局令第74号）</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4-12月</w:t>
            </w:r>
          </w:p>
        </w:tc>
      </w:tr>
      <w:tr>
        <w:tblPrEx>
          <w:shd w:val="clear" w:color="auto" w:fill="auto"/>
          <w:tblCellMar>
            <w:top w:w="0" w:type="dxa"/>
            <w:left w:w="0" w:type="dxa"/>
            <w:bottom w:w="0" w:type="dxa"/>
            <w:right w:w="0" w:type="dxa"/>
          </w:tblCellMar>
        </w:tblPrEx>
        <w:trPr>
          <w:trHeight w:val="384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5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对制造、修理、销售、进口和使用计量器具，以及计量检定等相关计量活动的监督检查（对社会公用计量标准的监督管理）</w:t>
            </w:r>
          </w:p>
        </w:tc>
        <w:tc>
          <w:tcPr>
            <w:tcW w:w="212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企事业单位、个体工商户</w:t>
            </w:r>
          </w:p>
        </w:tc>
        <w:tc>
          <w:tcPr>
            <w:tcW w:w="332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在用计量器具监督抽查；授权机构监督检查</w:t>
            </w:r>
          </w:p>
        </w:tc>
        <w:tc>
          <w:tcPr>
            <w:tcW w:w="300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《中华人民共和国计量法》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《节约能源法》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《计量标准考核办法》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《集贸市场计量监督管理办法》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《加油站计量监督管理办法》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《眼镜制配计量监督管理办法》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《能源计量监督管理办法》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《计量授权管理办法》  </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《法定计量检定机构监督管理办法》</w:t>
            </w:r>
          </w:p>
        </w:tc>
        <w:tc>
          <w:tcPr>
            <w:tcW w:w="15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现场检查</w:t>
            </w:r>
          </w:p>
        </w:tc>
        <w:tc>
          <w:tcPr>
            <w:tcW w:w="126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4月-12月</w:t>
            </w:r>
          </w:p>
        </w:tc>
      </w:tr>
    </w:tbl>
    <w:p/>
    <w:sectPr>
      <w:headerReference r:id="rId3" w:type="default"/>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8306"/>
      </w:tabs>
      <w:ind w:right="55" w:rightChars="26"/>
      <w:jc w:val="right"/>
      <w:rPr>
        <w:rFonts w:ascii="宋体" w:cs="Times New Roman"/>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margin">
                <wp:posOffset>2652395</wp:posOffset>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lear" w:pos="8306"/>
                            </w:tabs>
                            <w:ind w:right="55" w:rightChars="26"/>
                            <w:jc w:val="center"/>
                          </w:pPr>
                        </w:p>
                      </w:txbxContent>
                    </wps:txbx>
                    <wps:bodyPr wrap="none" lIns="0" tIns="0" rIns="0" bIns="0" upright="1">
                      <a:spAutoFit/>
                    </wps:bodyPr>
                  </wps:wsp>
                </a:graphicData>
              </a:graphic>
            </wp:anchor>
          </w:drawing>
        </mc:Choice>
        <mc:Fallback>
          <w:pict>
            <v:shape id="4097" o:spid="_x0000_s1026" o:spt="202" type="#_x0000_t202" style="position:absolute;left:0pt;margin-left:208.85pt;margin-top:0pt;height:144pt;width:144pt;mso-position-horizontal-relative:margin;mso-wrap-style:none;z-index:251673600;mso-width-relative:page;mso-height-relative:page;" filled="f" stroked="f" coordsize="21600,21600" o:gfxdata="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EIkli0wAAAAgBAAAPAAAAAAAAAAEAIAAAACIA&#10;AABkcnMvZG93bnJldi54bWxQSwECFAAUAAAACACHTuJACGLMZZwBAABEAwAADgAAAAAAAAABACAA&#10;AAAiAQAAZHJzL2Uyb0RvYy54bWxQSwUGAAAAAAYABgBZAQAAMAUAAAAA&#10;">
              <v:fill on="f" focussize="0,0"/>
              <v:stroke on="f"/>
              <v:imagedata o:title=""/>
              <o:lock v:ext="edit" aspectratio="f"/>
              <v:textbox inset="0mm,0mm,0mm,0mm" style="mso-fit-shape-to-text:t;">
                <w:txbxContent>
                  <w:p>
                    <w:pPr>
                      <w:pStyle w:val="5"/>
                      <w:tabs>
                        <w:tab w:val="clear" w:pos="8306"/>
                      </w:tabs>
                      <w:ind w:right="55" w:rightChars="26"/>
                      <w:jc w:val="center"/>
                    </w:pPr>
                  </w:p>
                </w:txbxContent>
              </v:textbox>
            </v:shape>
          </w:pict>
        </mc:Fallback>
      </mc:AlternateContent>
    </w:r>
  </w:p>
  <w:p>
    <w:pPr>
      <w:pStyle w:val="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127DD"/>
    <w:rsid w:val="0573795E"/>
    <w:rsid w:val="08C127DD"/>
    <w:rsid w:val="3356186A"/>
    <w:rsid w:val="338F5916"/>
    <w:rsid w:val="3ADC2A11"/>
    <w:rsid w:val="48AE76A5"/>
    <w:rsid w:val="4A6D6109"/>
    <w:rsid w:val="503624E8"/>
    <w:rsid w:val="5ACD7E5C"/>
    <w:rsid w:val="5CBD0231"/>
    <w:rsid w:val="6985084A"/>
    <w:rsid w:val="6B716440"/>
    <w:rsid w:val="727D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2"/>
    <w:basedOn w:val="1"/>
    <w:next w:val="1"/>
    <w:qFormat/>
    <w:uiPriority w:val="0"/>
    <w:pPr>
      <w:keepNext/>
      <w:keepLines/>
      <w:spacing w:line="560" w:lineRule="exact"/>
      <w:ind w:firstLine="600" w:firstLineChars="200"/>
      <w:outlineLvl w:val="1"/>
    </w:pPr>
    <w:rPr>
      <w:rFonts w:ascii="Cambria" w:hAnsi="Cambria" w:cs="Cambria"/>
      <w:sz w:val="32"/>
      <w:szCs w:val="32"/>
    </w:rPr>
  </w:style>
  <w:style w:type="paragraph" w:styleId="4">
    <w:name w:val="heading 3"/>
    <w:basedOn w:val="1"/>
    <w:next w:val="1"/>
    <w:qFormat/>
    <w:uiPriority w:val="99"/>
    <w:pPr>
      <w:keepNext/>
      <w:keepLines/>
      <w:spacing w:line="560" w:lineRule="exact"/>
      <w:outlineLvl w:val="2"/>
    </w:pPr>
    <w:rPr>
      <w:b/>
      <w:bC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font51"/>
    <w:basedOn w:val="8"/>
    <w:qFormat/>
    <w:uiPriority w:val="0"/>
    <w:rPr>
      <w:rFonts w:ascii="楷体_GB2312" w:eastAsia="楷体_GB2312" w:cs="楷体_GB2312"/>
      <w:color w:val="000000"/>
      <w:sz w:val="32"/>
      <w:szCs w:val="32"/>
      <w:u w:val="none"/>
    </w:rPr>
  </w:style>
  <w:style w:type="character" w:customStyle="1" w:styleId="10">
    <w:name w:val="font11"/>
    <w:basedOn w:val="8"/>
    <w:qFormat/>
    <w:uiPriority w:val="0"/>
    <w:rPr>
      <w:rFonts w:hint="eastAsia" w:ascii="宋体" w:hAnsi="宋体" w:eastAsia="宋体" w:cs="宋体"/>
      <w:color w:val="000000"/>
      <w:sz w:val="22"/>
      <w:szCs w:val="22"/>
      <w:u w:val="none"/>
    </w:rPr>
  </w:style>
  <w:style w:type="character" w:customStyle="1" w:styleId="11">
    <w:name w:val="font61"/>
    <w:basedOn w:val="8"/>
    <w:qFormat/>
    <w:uiPriority w:val="0"/>
    <w:rPr>
      <w:rFonts w:ascii="楷体_GB2312" w:eastAsia="楷体_GB2312" w:cs="楷体_GB2312"/>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2026-03-20T07:16:00Z</dcterms:created>
  <dc:creator>HP</dc:creator>
  <cp:lastModifiedBy>HP</cp:lastModifiedBy>
  <cp:lastPrinted>2026-03-20T07:44:00Z</cp:lastPrinted>
  <dcterms:modified xsi:type="dcterms:W3CDTF">2026-03-20T08:15:32Z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