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38521">
      <w:pPr>
        <w:spacing w:line="640" w:lineRule="exact"/>
        <w:jc w:val="center"/>
        <w:outlineLvl w:val="0"/>
        <w:rPr>
          <w:rFonts w:ascii="方正小标宋简体" w:hAnsi="方正小标宋简体" w:eastAsia="方正小标宋简体" w:cs="方正小标宋简体"/>
          <w:color w:val="auto"/>
          <w:sz w:val="44"/>
          <w:szCs w:val="44"/>
        </w:rPr>
      </w:pPr>
      <w:bookmarkStart w:id="0" w:name="DYNAMIC—DWXX—tAj_dwmc"/>
      <w:r>
        <w:rPr>
          <w:rFonts w:ascii="方正小标宋简体" w:hAnsi="方正小标宋简体" w:eastAsia="方正小标宋简体" w:cs="方正小标宋简体"/>
          <w:color w:val="auto"/>
          <w:sz w:val="44"/>
          <w:szCs w:val="44"/>
        </w:rPr>
        <w:t>青岛市黄岛区市场监督管理局</w:t>
      </w:r>
      <w:bookmarkStart w:id="1" w:name="_Toc76683376"/>
      <w:r>
        <w:rPr>
          <w:rFonts w:ascii="方正小标宋简体" w:hAnsi="方正小标宋简体" w:eastAsia="方正小标宋简体" w:cs="方正小标宋简体"/>
          <w:color w:val="auto"/>
          <w:sz w:val="44"/>
          <w:szCs w:val="44"/>
        </w:rPr>
        <w:t xml:space="preserve"> </w:t>
      </w:r>
      <w:bookmarkEnd w:id="0"/>
    </w:p>
    <w:bookmarkEnd w:id="1"/>
    <w:p w14:paraId="74F14F9B">
      <w:pPr>
        <w:autoSpaceDE w:val="0"/>
        <w:autoSpaceDN w:val="0"/>
        <w:adjustRightInd w:val="0"/>
        <w:spacing w:line="440" w:lineRule="exact"/>
        <w:jc w:val="center"/>
        <w:rPr>
          <w:rFonts w:cs="Times New Roman"/>
          <w:b/>
          <w:bCs/>
          <w:color w:val="000000"/>
          <w:kern w:val="0"/>
          <w:sz w:val="44"/>
          <w:szCs w:val="44"/>
        </w:rPr>
      </w:pPr>
      <w:bookmarkStart w:id="2" w:name="tAj_wh"/>
      <w:r>
        <w:rPr>
          <w:rFonts w:hint="eastAsia" w:cs="宋体"/>
          <w:b/>
          <w:bCs/>
          <w:color w:val="000000"/>
          <w:kern w:val="0"/>
          <w:sz w:val="44"/>
          <w:szCs w:val="44"/>
        </w:rPr>
        <w:t>行政处罚</w:t>
      </w:r>
      <w:r>
        <w:rPr>
          <w:rFonts w:hint="eastAsia" w:cs="宋体"/>
          <w:b/>
          <w:bCs/>
          <w:color w:val="000000"/>
          <w:kern w:val="0"/>
          <w:sz w:val="44"/>
          <w:szCs w:val="44"/>
          <w:lang w:val="en-US" w:eastAsia="zh-CN"/>
        </w:rPr>
        <w:t>决定</w:t>
      </w:r>
      <w:r>
        <w:rPr>
          <w:rFonts w:hint="eastAsia" w:cs="宋体"/>
          <w:b/>
          <w:bCs/>
          <w:color w:val="000000"/>
          <w:kern w:val="0"/>
          <w:sz w:val="44"/>
          <w:szCs w:val="44"/>
        </w:rPr>
        <w:t>书</w:t>
      </w:r>
    </w:p>
    <w:bookmarkEnd w:id="2"/>
    <w:p w14:paraId="3CA2EC57">
      <w:pPr>
        <w:jc w:val="center"/>
        <w:rPr>
          <w:rFonts w:hint="eastAsia" w:ascii="仿宋" w:hAnsi="仿宋" w:eastAsia="仿宋" w:cs="仿宋"/>
          <w:color w:val="000000"/>
          <w:kern w:val="0"/>
          <w:sz w:val="32"/>
          <w:szCs w:val="32"/>
        </w:rPr>
      </w:pPr>
      <w:r>
        <w:rPr>
          <w:rFonts w:hint="eastAsia" w:ascii="仿宋" w:hAnsi="仿宋" w:eastAsia="仿宋" w:cs="仿宋"/>
          <w:color w:val="000000"/>
          <w:sz w:val="32"/>
          <w:szCs w:val="32"/>
          <w:u w:val="none"/>
        </w:rPr>
        <w:t>青黄市监</w:t>
      </w:r>
      <w:r>
        <w:rPr>
          <w:rFonts w:hint="eastAsia" w:ascii="仿宋" w:hAnsi="仿宋" w:eastAsia="仿宋" w:cs="仿宋"/>
          <w:color w:val="000000"/>
          <w:sz w:val="32"/>
          <w:szCs w:val="32"/>
          <w:u w:val="none"/>
          <w:lang w:val="en-US" w:eastAsia="zh-CN"/>
        </w:rPr>
        <w:t>处</w:t>
      </w:r>
      <w:r>
        <w:rPr>
          <w:rFonts w:hint="eastAsia" w:ascii="仿宋" w:hAnsi="仿宋" w:eastAsia="仿宋" w:cs="仿宋"/>
          <w:color w:val="000000"/>
          <w:kern w:val="0"/>
          <w:sz w:val="32"/>
          <w:szCs w:val="32"/>
          <w:u w:val="none"/>
        </w:rPr>
        <w:t>罚</w:t>
      </w:r>
      <w:r>
        <w:rPr>
          <w:rFonts w:hint="eastAsia" w:ascii="仿宋" w:hAnsi="仿宋" w:eastAsia="仿宋" w:cs="仿宋"/>
          <w:color w:val="000000"/>
          <w:sz w:val="32"/>
          <w:szCs w:val="32"/>
          <w:u w:val="none"/>
        </w:rPr>
        <w:t>〔</w:t>
      </w:r>
      <w:r>
        <w:rPr>
          <w:rFonts w:ascii="仿宋" w:hAnsi="仿宋" w:eastAsia="仿宋" w:cs="仿宋"/>
          <w:color w:val="000000"/>
          <w:sz w:val="32"/>
          <w:szCs w:val="32"/>
          <w:u w:val="none"/>
        </w:rPr>
        <w:t>202</w:t>
      </w:r>
      <w:r>
        <w:rPr>
          <w:rFonts w:hint="eastAsia" w:ascii="仿宋" w:hAnsi="仿宋" w:eastAsia="仿宋" w:cs="仿宋"/>
          <w:color w:val="000000"/>
          <w:sz w:val="32"/>
          <w:szCs w:val="32"/>
          <w:u w:val="none"/>
          <w:lang w:val="en-US" w:eastAsia="zh-CN"/>
        </w:rPr>
        <w:t>6</w:t>
      </w:r>
      <w:r>
        <w:rPr>
          <w:rFonts w:hint="eastAsia" w:ascii="仿宋" w:hAnsi="仿宋" w:eastAsia="仿宋" w:cs="仿宋"/>
          <w:color w:val="000000"/>
          <w:sz w:val="32"/>
          <w:szCs w:val="32"/>
          <w:u w:val="none"/>
        </w:rPr>
        <w:t>〕</w:t>
      </w:r>
      <w:r>
        <w:rPr>
          <w:rFonts w:hint="eastAsia" w:ascii="仿宋" w:hAnsi="仿宋" w:eastAsia="仿宋" w:cs="仿宋"/>
          <w:color w:val="000000"/>
          <w:sz w:val="32"/>
          <w:szCs w:val="32"/>
          <w:u w:val="none"/>
          <w:lang w:val="en-US" w:eastAsia="zh-CN"/>
        </w:rPr>
        <w:t>4736-4754</w:t>
      </w:r>
      <w:r>
        <w:rPr>
          <w:rFonts w:hint="eastAsia" w:ascii="仿宋" w:hAnsi="仿宋" w:eastAsia="仿宋" w:cs="仿宋"/>
          <w:color w:val="000000"/>
          <w:kern w:val="0"/>
          <w:sz w:val="32"/>
          <w:szCs w:val="32"/>
        </w:rPr>
        <w:t>号</w:t>
      </w:r>
    </w:p>
    <w:p w14:paraId="7CFF9166">
      <w:pPr>
        <w:jc w:val="center"/>
        <w:rPr>
          <w:rFonts w:hint="eastAsia" w:ascii="仿宋" w:hAnsi="仿宋" w:eastAsia="仿宋" w:cs="仿宋"/>
          <w:color w:val="000000"/>
          <w:kern w:val="0"/>
          <w:sz w:val="32"/>
          <w:szCs w:val="32"/>
        </w:rPr>
      </w:pPr>
    </w:p>
    <w:p w14:paraId="73CEF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right="0"/>
        <w:jc w:val="both"/>
        <w:textAlignment w:val="auto"/>
        <w:rPr>
          <w:rFonts w:hint="eastAsia" w:ascii="仿宋_GB2312" w:hAnsi="仿宋_GB2312" w:eastAsia="仿宋_GB2312" w:cs="仿宋_GB2312"/>
          <w:color w:val="auto"/>
          <w:kern w:val="2"/>
          <w:sz w:val="32"/>
          <w:szCs w:val="32"/>
          <w:u w:val="none"/>
          <w:lang w:val="en-US" w:eastAsia="zh-CN" w:bidi="ar"/>
        </w:rPr>
      </w:pPr>
      <w:bookmarkStart w:id="3" w:name="OLE_LINK5"/>
      <w:bookmarkStart w:id="4" w:name="CALCULATE—AYHC—tAjHc_cHcqkjlaay"/>
      <w:r>
        <w:rPr>
          <w:rFonts w:hint="eastAsia" w:ascii="仿宋_GB2312" w:hAnsi="仿宋" w:eastAsia="仿宋_GB2312" w:cs="仿宋"/>
          <w:color w:val="auto"/>
          <w:sz w:val="32"/>
          <w:u w:val="none"/>
        </w:rPr>
        <w:t>青岛发丝龙美容美发有限公司</w:t>
      </w:r>
      <w:r>
        <w:rPr>
          <w:rFonts w:hint="eastAsia" w:ascii="仿宋_GB2312" w:hAnsi="仿宋" w:eastAsia="仿宋_GB2312" w:cs="仿宋"/>
          <w:color w:val="auto"/>
          <w:sz w:val="32"/>
          <w:u w:val="none"/>
          <w:lang w:val="en-US" w:eastAsia="zh-CN"/>
        </w:rPr>
        <w:t>等19户企业（名单附后，以下简称当事人）：</w:t>
      </w:r>
    </w:p>
    <w:p w14:paraId="6D796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仿宋_GB2312"/>
          <w:color w:val="auto"/>
          <w:sz w:val="32"/>
          <w:szCs w:val="32"/>
          <w:u w:val="none"/>
          <w:lang w:val="en-US"/>
        </w:rPr>
      </w:pPr>
      <w:r>
        <w:rPr>
          <w:rFonts w:hint="eastAsia" w:ascii="仿宋_GB2312" w:hAnsi="仿宋_GB2312" w:eastAsia="仿宋_GB2312" w:cs="仿宋_GB2312"/>
          <w:color w:val="auto"/>
          <w:kern w:val="2"/>
          <w:sz w:val="32"/>
          <w:szCs w:val="32"/>
          <w:u w:val="none"/>
          <w:lang w:val="en-US" w:eastAsia="zh-CN" w:bidi="ar"/>
        </w:rPr>
        <w:t>本局依据青岛市场监督管理局下发的2023、2024连续2个年度未年报企业名单，</w:t>
      </w:r>
      <w:r>
        <w:rPr>
          <w:rFonts w:hint="eastAsia" w:ascii="仿宋_GB2312" w:hAnsi="仿宋_GB2312" w:eastAsia="仿宋_GB2312" w:cs="仿宋_GB2312"/>
          <w:color w:val="auto"/>
          <w:kern w:val="2"/>
          <w:sz w:val="32"/>
          <w:szCs w:val="24"/>
          <w:u w:val="none"/>
          <w:lang w:val="en-US" w:eastAsia="zh-CN" w:bidi="ar"/>
        </w:rPr>
        <w:t>对当事人登记的住所进行现场检查，当事人通过登记的住所无法取得联系，且在2023年、2024两个年度因未年报列入经营异常名录未改正，涉嫌违反了《企业信息公示暂行条例》第十八条的规定，依据《市场监督管理行政处罚程序规定》第十九条第一款的规定，本局于2026年6月9日予以立案。</w:t>
      </w:r>
      <w:bookmarkEnd w:id="3"/>
      <w:bookmarkEnd w:id="4"/>
    </w:p>
    <w:p w14:paraId="1E2CC213">
      <w:pPr>
        <w:widowControl/>
        <w:snapToGrid w:val="0"/>
        <w:spacing w:line="480" w:lineRule="exact"/>
        <w:ind w:firstLine="640" w:firstLineChars="200"/>
        <w:rPr>
          <w:rFonts w:hint="eastAsia" w:ascii="仿宋" w:hAnsi="仿宋" w:eastAsia="仿宋" w:cs="仿宋"/>
          <w:kern w:val="1"/>
          <w:sz w:val="32"/>
          <w:szCs w:val="32"/>
          <w:u w:val="none"/>
          <w:lang w:val="en-US" w:eastAsia="zh-CN"/>
        </w:rPr>
      </w:pPr>
      <w:r>
        <w:rPr>
          <w:rFonts w:hint="eastAsia" w:ascii="仿宋" w:hAnsi="仿宋" w:eastAsia="仿宋" w:cs="仿宋"/>
          <w:kern w:val="1"/>
          <w:sz w:val="32"/>
          <w:szCs w:val="32"/>
          <w:u w:val="none"/>
          <w:lang w:val="en-US" w:eastAsia="zh-CN"/>
        </w:rPr>
        <w:t>经查明，当事人在2023、2024年连续两个年度未通过国家企业信用信息公示系统进行年度报告，被本局列入经营异常名录后未改正，本局执法人员对当事人进行现场检查发现，通过登记的住所或经营场所无法与当事人取得联系。</w:t>
      </w:r>
    </w:p>
    <w:p w14:paraId="388A4186">
      <w:pPr>
        <w:widowControl/>
        <w:snapToGrid w:val="0"/>
        <w:spacing w:line="480" w:lineRule="exact"/>
        <w:ind w:firstLine="640" w:firstLineChars="200"/>
        <w:rPr>
          <w:rFonts w:hint="eastAsia" w:ascii="仿宋" w:hAnsi="仿宋" w:eastAsia="仿宋" w:cs="仿宋"/>
          <w:kern w:val="1"/>
          <w:sz w:val="32"/>
          <w:szCs w:val="32"/>
          <w:u w:val="none"/>
          <w:lang w:val="en-US" w:eastAsia="zh-CN"/>
        </w:rPr>
      </w:pPr>
      <w:r>
        <w:rPr>
          <w:rFonts w:hint="eastAsia" w:ascii="仿宋" w:hAnsi="仿宋" w:eastAsia="仿宋" w:cs="仿宋"/>
          <w:kern w:val="1"/>
          <w:sz w:val="32"/>
          <w:szCs w:val="32"/>
          <w:u w:val="none"/>
          <w:lang w:val="en-US" w:eastAsia="zh-CN"/>
        </w:rPr>
        <w:t>上述事实，主要有以下证据证明：</w:t>
      </w:r>
    </w:p>
    <w:p w14:paraId="029A7026">
      <w:pPr>
        <w:widowControl/>
        <w:snapToGrid w:val="0"/>
        <w:spacing w:line="480" w:lineRule="exact"/>
        <w:ind w:firstLine="640" w:firstLineChars="200"/>
        <w:rPr>
          <w:rFonts w:hint="eastAsia" w:ascii="仿宋" w:hAnsi="仿宋" w:eastAsia="仿宋" w:cs="仿宋"/>
          <w:kern w:val="1"/>
          <w:sz w:val="32"/>
          <w:szCs w:val="32"/>
          <w:u w:val="none"/>
          <w:lang w:val="en-US" w:eastAsia="zh-CN"/>
        </w:rPr>
      </w:pPr>
      <w:r>
        <w:rPr>
          <w:rFonts w:hint="eastAsia" w:ascii="仿宋" w:hAnsi="仿宋" w:eastAsia="仿宋" w:cs="仿宋"/>
          <w:kern w:val="1"/>
          <w:sz w:val="32"/>
          <w:szCs w:val="32"/>
          <w:u w:val="none"/>
          <w:lang w:val="en-US" w:eastAsia="zh-CN"/>
        </w:rPr>
        <w:t>1.青岛市市场监督管理局下发2023、2024连续2年未年报企业截图，证明案件来源；</w:t>
      </w:r>
    </w:p>
    <w:p w14:paraId="2ACAE88E">
      <w:pPr>
        <w:widowControl/>
        <w:snapToGrid w:val="0"/>
        <w:spacing w:line="480" w:lineRule="exact"/>
        <w:ind w:firstLine="640" w:firstLineChars="200"/>
        <w:rPr>
          <w:rFonts w:hint="default" w:ascii="仿宋" w:hAnsi="仿宋" w:eastAsia="仿宋" w:cs="仿宋"/>
          <w:kern w:val="1"/>
          <w:sz w:val="32"/>
          <w:szCs w:val="32"/>
          <w:u w:val="none"/>
          <w:lang w:val="en-US" w:eastAsia="zh-CN"/>
        </w:rPr>
      </w:pPr>
      <w:r>
        <w:rPr>
          <w:rFonts w:hint="eastAsia" w:ascii="仿宋" w:hAnsi="仿宋" w:eastAsia="仿宋" w:cs="仿宋"/>
          <w:kern w:val="1"/>
          <w:sz w:val="32"/>
          <w:szCs w:val="32"/>
          <w:u w:val="none"/>
          <w:lang w:val="en-US" w:eastAsia="zh-CN"/>
        </w:rPr>
        <w:t>2.当事人信息，证明当事人资质情况；</w:t>
      </w:r>
    </w:p>
    <w:p w14:paraId="6AFB0D45">
      <w:pPr>
        <w:widowControl/>
        <w:snapToGrid w:val="0"/>
        <w:spacing w:line="480" w:lineRule="exact"/>
        <w:ind w:firstLine="640" w:firstLineChars="200"/>
        <w:rPr>
          <w:rFonts w:hint="eastAsia" w:ascii="仿宋" w:hAnsi="仿宋" w:eastAsia="仿宋" w:cs="仿宋"/>
          <w:kern w:val="1"/>
          <w:sz w:val="32"/>
          <w:szCs w:val="32"/>
          <w:u w:val="none"/>
          <w:lang w:val="en-US" w:eastAsia="zh-CN"/>
        </w:rPr>
      </w:pPr>
      <w:r>
        <w:rPr>
          <w:rFonts w:hint="eastAsia" w:ascii="仿宋" w:hAnsi="仿宋" w:eastAsia="仿宋" w:cs="仿宋"/>
          <w:kern w:val="1"/>
          <w:sz w:val="32"/>
          <w:szCs w:val="32"/>
          <w:u w:val="none"/>
          <w:lang w:val="en-US" w:eastAsia="zh-CN"/>
        </w:rPr>
        <w:t>3.当事人2023、2024年报基本信息，证明当事人2023、2024连续2年未公示年度报告；</w:t>
      </w:r>
    </w:p>
    <w:p w14:paraId="012F90EB">
      <w:pPr>
        <w:widowControl/>
        <w:snapToGrid w:val="0"/>
        <w:spacing w:line="480" w:lineRule="exact"/>
        <w:ind w:firstLine="640" w:firstLineChars="200"/>
        <w:rPr>
          <w:rFonts w:hint="eastAsia" w:ascii="仿宋" w:hAnsi="仿宋" w:eastAsia="仿宋" w:cs="仿宋"/>
          <w:kern w:val="1"/>
          <w:sz w:val="32"/>
          <w:szCs w:val="32"/>
          <w:u w:val="none"/>
          <w:lang w:val="en-US" w:eastAsia="zh-CN"/>
        </w:rPr>
      </w:pPr>
      <w:r>
        <w:rPr>
          <w:rFonts w:hint="eastAsia" w:ascii="仿宋" w:hAnsi="仿宋" w:eastAsia="仿宋" w:cs="仿宋"/>
          <w:kern w:val="1"/>
          <w:sz w:val="32"/>
          <w:szCs w:val="32"/>
          <w:u w:val="none"/>
          <w:lang w:val="en-US" w:eastAsia="zh-CN"/>
        </w:rPr>
        <w:t>4.列入经营异常名录截图，证明当事人已列入经营异常名录且未改正；</w:t>
      </w:r>
    </w:p>
    <w:p w14:paraId="4E0128C8">
      <w:pPr>
        <w:widowControl/>
        <w:snapToGrid w:val="0"/>
        <w:spacing w:line="480" w:lineRule="exact"/>
        <w:ind w:firstLine="640" w:firstLineChars="200"/>
        <w:rPr>
          <w:rFonts w:hint="eastAsia" w:ascii="仿宋" w:hAnsi="仿宋" w:eastAsia="仿宋" w:cs="仿宋"/>
          <w:kern w:val="1"/>
          <w:sz w:val="32"/>
          <w:szCs w:val="32"/>
          <w:u w:val="none"/>
          <w:lang w:val="en-US" w:eastAsia="zh-CN"/>
        </w:rPr>
      </w:pPr>
      <w:r>
        <w:rPr>
          <w:rFonts w:hint="eastAsia" w:ascii="仿宋" w:hAnsi="仿宋" w:eastAsia="仿宋" w:cs="仿宋"/>
          <w:kern w:val="1"/>
          <w:sz w:val="32"/>
          <w:szCs w:val="32"/>
          <w:u w:val="none"/>
          <w:lang w:val="en-US" w:eastAsia="zh-CN"/>
        </w:rPr>
        <w:t>5.《现场检查笔录》1份及现场检查照片1份，见证人身份证复印件1份，证明执法人员在其登记的住所或经营场所无法取得联系的现场实际情况及见证人身份信息。</w:t>
      </w:r>
    </w:p>
    <w:p w14:paraId="17010E7D">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kern w:val="1"/>
          <w:sz w:val="32"/>
          <w:szCs w:val="32"/>
          <w:u w:val="none"/>
          <w:lang w:val="en-US" w:eastAsia="zh-CN"/>
        </w:rPr>
      </w:pPr>
      <w:r>
        <w:rPr>
          <w:rFonts w:hint="eastAsia" w:ascii="仿宋_GB2312" w:hAnsi="仿宋_GB2312" w:eastAsia="仿宋_GB2312" w:cs="仿宋_GB2312"/>
          <w:bCs/>
          <w:color w:val="000000"/>
          <w:sz w:val="32"/>
          <w:szCs w:val="32"/>
          <w:lang w:val="en-US" w:eastAsia="zh-CN"/>
        </w:rPr>
        <w:t>2026年9月1日，因</w:t>
      </w:r>
      <w:r>
        <w:rPr>
          <w:rFonts w:hint="eastAsia" w:ascii="仿宋_GB2312" w:hAnsi="仿宋" w:eastAsia="仿宋_GB2312" w:cs="仿宋"/>
          <w:color w:val="auto"/>
          <w:sz w:val="32"/>
          <w:u w:val="none"/>
          <w:lang w:val="en-US" w:eastAsia="zh-CN"/>
        </w:rPr>
        <w:t>当事人</w:t>
      </w:r>
      <w:r>
        <w:rPr>
          <w:rFonts w:hint="eastAsia" w:ascii="仿宋_GB2312" w:hAnsi="仿宋_GB2312" w:eastAsia="仿宋_GB2312" w:cs="仿宋_GB2312"/>
          <w:bCs/>
          <w:color w:val="000000"/>
          <w:sz w:val="32"/>
          <w:szCs w:val="32"/>
          <w:lang w:val="en-US" w:eastAsia="zh-CN"/>
        </w:rPr>
        <w:t>下落不明，本局按照《中华人民共和国行政处罚法》的规定，向当事人公告送达《行政处罚告知书》，告知当事人涉嫌违反《</w:t>
      </w:r>
      <w:r>
        <w:rPr>
          <w:rFonts w:hint="eastAsia" w:ascii="仿宋_GB2312" w:hAnsi="Times New Roman" w:eastAsia="仿宋_GB2312" w:cs="仿宋_GB2312"/>
          <w:color w:val="auto"/>
          <w:kern w:val="2"/>
          <w:sz w:val="32"/>
          <w:szCs w:val="24"/>
          <w:u w:val="none"/>
          <w:lang w:val="en-US" w:eastAsia="zh-CN" w:bidi="ar"/>
        </w:rPr>
        <w:t>企业信息公示暂行条例（2024修订）</w:t>
      </w:r>
      <w:r>
        <w:rPr>
          <w:rFonts w:hint="eastAsia" w:ascii="仿宋_GB2312" w:hAnsi="仿宋_GB2312" w:eastAsia="仿宋_GB2312" w:cs="仿宋_GB2312"/>
          <w:bCs/>
          <w:color w:val="000000"/>
          <w:sz w:val="32"/>
          <w:szCs w:val="32"/>
          <w:lang w:val="en-US" w:eastAsia="zh-CN"/>
        </w:rPr>
        <w:t>》的事实、拟作出的行政处罚决定、理由和依据，以及当事人依法享有陈述、申辩，并可以要求听证的权利。当事人自公告送达视为收到告知书之日起五个工作日内未行使陈述、申辩以及听证的权利，视当事人放弃此权利。</w:t>
      </w:r>
    </w:p>
    <w:p w14:paraId="11DCBAD8">
      <w:pPr>
        <w:spacing w:line="520" w:lineRule="exact"/>
        <w:ind w:firstLine="640" w:firstLineChars="200"/>
        <w:rPr>
          <w:rFonts w:hint="eastAsia" w:ascii="Times New Roman" w:hAnsi="Times New Roman" w:eastAsia="微软雅黑" w:cs="仿宋_GB2312"/>
          <w:color w:val="auto"/>
          <w:sz w:val="32"/>
          <w:szCs w:val="32"/>
          <w:u w:val="none"/>
          <w:lang w:eastAsia="zh-CN"/>
        </w:rPr>
      </w:pPr>
      <w:r>
        <w:rPr>
          <w:rFonts w:hint="eastAsia" w:ascii="仿宋_GB2312" w:hAnsi="仿宋_GB2312" w:eastAsia="仿宋_GB2312" w:cs="仿宋_GB2312"/>
          <w:color w:val="000000"/>
          <w:sz w:val="32"/>
          <w:szCs w:val="32"/>
          <w:u w:val="none"/>
          <w:lang w:val="en-US" w:eastAsia="zh-CN"/>
        </w:rPr>
        <w:t>本局认为，当事人连续2年未公示年度报告</w:t>
      </w:r>
      <w:r>
        <w:rPr>
          <w:rFonts w:hint="eastAsia" w:ascii="仿宋_GB2312" w:hAnsi="Times New Roman" w:eastAsia="仿宋_GB2312" w:cs="仿宋_GB2312"/>
          <w:color w:val="000000"/>
          <w:sz w:val="32"/>
          <w:u w:val="none"/>
        </w:rPr>
        <w:t>被列入经营异常名录未改正，且通过登记的住所或者经营场所无法取得联系</w:t>
      </w:r>
      <w:r>
        <w:rPr>
          <w:rFonts w:hint="eastAsia" w:ascii="仿宋_GB2312" w:hAnsi="Times New Roman" w:eastAsia="仿宋_GB2312" w:cs="仿宋_GB2312"/>
          <w:color w:val="000000"/>
          <w:sz w:val="32"/>
          <w:u w:val="none"/>
          <w:lang w:eastAsia="zh-CN"/>
        </w:rPr>
        <w:t>，</w:t>
      </w:r>
      <w:r>
        <w:rPr>
          <w:rFonts w:hint="eastAsia" w:ascii="仿宋_GB2312" w:hAnsi="Times New Roman" w:eastAsia="仿宋_GB2312" w:cs="仿宋_GB2312"/>
          <w:color w:val="000000"/>
          <w:sz w:val="32"/>
          <w:u w:val="none"/>
          <w:lang w:val="en-US" w:eastAsia="zh-CN"/>
        </w:rPr>
        <w:t>依据</w:t>
      </w:r>
      <w:r>
        <w:rPr>
          <w:rFonts w:hint="eastAsia" w:ascii="仿宋_GB2312" w:hAnsi="Times New Roman" w:eastAsia="仿宋_GB2312" w:cs="仿宋_GB2312"/>
          <w:color w:val="000000"/>
          <w:sz w:val="32"/>
          <w:u w:val="none"/>
        </w:rPr>
        <w:t>《企业信息公示暂行条例（2024修订）》第十八条第一款</w:t>
      </w:r>
      <w:r>
        <w:rPr>
          <w:rFonts w:hint="eastAsia" w:ascii="仿宋_GB2312" w:hAnsi="Times New Roman" w:eastAsia="仿宋_GB2312" w:cs="仿宋_GB2312"/>
          <w:color w:val="000000"/>
          <w:sz w:val="32"/>
          <w:u w:val="none"/>
          <w:lang w:val="en-US" w:eastAsia="zh-CN"/>
        </w:rPr>
        <w:t>的规定，构成</w:t>
      </w:r>
      <w:r>
        <w:rPr>
          <w:rFonts w:hint="eastAsia" w:ascii="仿宋_GB2312" w:hAnsi="Times New Roman" w:eastAsia="仿宋_GB2312" w:cs="仿宋_GB2312"/>
          <w:color w:val="000000"/>
          <w:sz w:val="32"/>
          <w:u w:val="none"/>
        </w:rPr>
        <w:t>因连续2年未按规定报送年度报告被列入经营异常名录未改正，且通过登记的住所或者经营场所无法取得联系的行为</w:t>
      </w:r>
      <w:r>
        <w:rPr>
          <w:rFonts w:hint="eastAsia" w:ascii="仿宋_GB2312" w:hAnsi="Times New Roman" w:eastAsia="仿宋_GB2312" w:cs="仿宋_GB2312"/>
          <w:color w:val="000000"/>
          <w:sz w:val="32"/>
          <w:u w:val="none"/>
          <w:lang w:eastAsia="zh-CN"/>
        </w:rPr>
        <w:t>。</w:t>
      </w:r>
    </w:p>
    <w:p w14:paraId="76699F9B">
      <w:pPr>
        <w:spacing w:line="520" w:lineRule="exact"/>
        <w:ind w:firstLine="640" w:firstLineChars="200"/>
        <w:jc w:val="left"/>
        <w:rPr>
          <w:rFonts w:hint="eastAsia" w:ascii="Times New Roman" w:hAnsi="Times New Roman" w:eastAsia="仿宋_GB2312" w:cs="仿宋_GB2312"/>
          <w:color w:val="000000"/>
          <w:sz w:val="32"/>
          <w:u w:val="none"/>
          <w:lang w:val="en-US" w:eastAsia="zh-CN"/>
        </w:rPr>
      </w:pPr>
      <w:r>
        <w:rPr>
          <w:rFonts w:hint="eastAsia" w:ascii="Times New Roman" w:hAnsi="仿宋_GB2312" w:eastAsia="仿宋_GB2312" w:cs="仿宋_GB2312"/>
          <w:bCs/>
          <w:color w:val="000000"/>
          <w:sz w:val="32"/>
          <w:szCs w:val="32"/>
          <w:u w:val="none"/>
          <w:lang w:val="en-US" w:eastAsia="zh-CN"/>
        </w:rPr>
        <w:t>当事人</w:t>
      </w:r>
      <w:r>
        <w:rPr>
          <w:rFonts w:hint="eastAsia" w:ascii="仿宋_GB2312" w:hAnsi="Times New Roman" w:eastAsia="仿宋_GB2312" w:cs="仿宋_GB2312"/>
          <w:color w:val="000000"/>
          <w:sz w:val="32"/>
          <w:u w:val="none"/>
        </w:rPr>
        <w:t>因连续2年未按规定报送年度报告被列入经营异常名录未改正，且通过登记的住所或者经营场所无法取得联系的行为</w:t>
      </w:r>
      <w:r>
        <w:rPr>
          <w:rFonts w:hint="eastAsia" w:ascii="仿宋_GB2312" w:hAnsi="Times New Roman" w:eastAsia="仿宋_GB2312" w:cs="仿宋_GB2312"/>
          <w:color w:val="000000"/>
          <w:sz w:val="32"/>
          <w:u w:val="none"/>
          <w:lang w:eastAsia="zh-CN"/>
        </w:rPr>
        <w:t>，</w:t>
      </w:r>
      <w:r>
        <w:rPr>
          <w:rFonts w:hint="eastAsia" w:ascii="Times New Roman" w:hAnsi="仿宋_GB2312" w:eastAsia="仿宋_GB2312" w:cs="仿宋_GB2312"/>
          <w:bCs/>
          <w:color w:val="000000"/>
          <w:sz w:val="32"/>
          <w:szCs w:val="32"/>
          <w:u w:val="none"/>
          <w:lang w:val="en-US" w:eastAsia="zh-CN"/>
        </w:rPr>
        <w:t>依据</w:t>
      </w:r>
      <w:r>
        <w:rPr>
          <w:rFonts w:hint="eastAsia" w:ascii="Times New Roman" w:hAnsi="Times New Roman" w:eastAsia="仿宋_GB2312" w:cs="仿宋_GB2312"/>
          <w:color w:val="000000"/>
          <w:sz w:val="32"/>
          <w:u w:val="none"/>
        </w:rPr>
        <w:t>《企业信息公示暂行条例（2024修订）》第十八条第一款</w:t>
      </w:r>
      <w:r>
        <w:rPr>
          <w:rFonts w:hint="eastAsia" w:ascii="Times New Roman" w:hAnsi="Times New Roman" w:eastAsia="仿宋_GB2312" w:cs="仿宋_GB2312"/>
          <w:color w:val="000000"/>
          <w:sz w:val="32"/>
          <w:u w:val="none"/>
          <w:lang w:eastAsia="zh-CN"/>
        </w:rPr>
        <w:t>“</w:t>
      </w:r>
      <w:r>
        <w:rPr>
          <w:rFonts w:hint="eastAsia" w:ascii="Times New Roman" w:hAnsi="Times New Roman" w:eastAsia="仿宋_GB2312" w:cs="仿宋_GB2312"/>
          <w:color w:val="000000"/>
          <w:sz w:val="32"/>
          <w:u w:val="none"/>
        </w:rPr>
        <w:t>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w:t>
      </w:r>
      <w:r>
        <w:rPr>
          <w:rFonts w:hint="eastAsia" w:ascii="Times New Roman" w:hAnsi="Times New Roman" w:eastAsia="仿宋_GB2312" w:cs="仿宋_GB2312"/>
          <w:color w:val="000000"/>
          <w:sz w:val="32"/>
          <w:u w:val="none"/>
          <w:lang w:eastAsia="zh-CN"/>
        </w:rPr>
        <w:t>”</w:t>
      </w:r>
      <w:r>
        <w:rPr>
          <w:rFonts w:hint="eastAsia" w:ascii="Times New Roman" w:hAnsi="Times New Roman" w:eastAsia="仿宋_GB2312" w:cs="仿宋_GB2312"/>
          <w:color w:val="000000"/>
          <w:sz w:val="32"/>
          <w:u w:val="none"/>
          <w:lang w:val="en-US" w:eastAsia="zh-CN"/>
        </w:rPr>
        <w:t>的规定</w:t>
      </w:r>
      <w:r>
        <w:rPr>
          <w:rFonts w:hint="eastAsia" w:ascii="Times New Roman" w:hAnsi="Times New Roman" w:eastAsia="仿宋_GB2312" w:cs="仿宋_GB2312"/>
          <w:color w:val="000000"/>
          <w:sz w:val="32"/>
          <w:u w:val="none"/>
          <w:lang w:eastAsia="zh-CN"/>
        </w:rPr>
        <w:t>，</w:t>
      </w:r>
      <w:r>
        <w:rPr>
          <w:rFonts w:hint="eastAsia" w:ascii="Times New Roman" w:hAnsi="Times New Roman" w:eastAsia="仿宋_GB2312" w:cs="仿宋_GB2312"/>
          <w:color w:val="000000"/>
          <w:sz w:val="32"/>
          <w:u w:val="none"/>
          <w:lang w:val="en-US" w:eastAsia="zh-CN"/>
        </w:rPr>
        <w:t>决定给予当事人行政处罚如下：</w:t>
      </w:r>
    </w:p>
    <w:p w14:paraId="5CAFF1FB">
      <w:pPr>
        <w:spacing w:line="520" w:lineRule="exact"/>
        <w:ind w:firstLine="640" w:firstLineChars="200"/>
        <w:jc w:val="left"/>
        <w:rPr>
          <w:rFonts w:hint="eastAsia" w:ascii="仿宋_GB2312" w:hAnsi="Times New Roman" w:eastAsia="仿宋_GB2312" w:cs="仿宋_GB2312"/>
          <w:color w:val="000000"/>
          <w:sz w:val="32"/>
          <w:u w:val="none"/>
          <w:lang w:eastAsia="zh-CN"/>
        </w:rPr>
      </w:pPr>
      <w:r>
        <w:rPr>
          <w:rFonts w:hint="eastAsia" w:ascii="仿宋_GB2312" w:hAnsi="Times New Roman" w:eastAsia="仿宋_GB2312" w:cs="仿宋_GB2312"/>
          <w:color w:val="000000"/>
          <w:sz w:val="32"/>
          <w:u w:val="none"/>
        </w:rPr>
        <w:t>吊销营业执照</w:t>
      </w:r>
      <w:r>
        <w:rPr>
          <w:rFonts w:hint="eastAsia" w:ascii="仿宋_GB2312" w:hAnsi="Times New Roman" w:eastAsia="仿宋_GB2312" w:cs="仿宋_GB2312"/>
          <w:color w:val="000000"/>
          <w:sz w:val="32"/>
          <w:u w:val="none"/>
          <w:lang w:eastAsia="zh-CN"/>
        </w:rPr>
        <w:t>。</w:t>
      </w:r>
    </w:p>
    <w:p w14:paraId="2D7BFCBD">
      <w:pPr>
        <w:tabs>
          <w:tab w:val="left" w:pos="3990"/>
        </w:tabs>
        <w:spacing w:line="520" w:lineRule="exact"/>
        <w:ind w:firstLine="640" w:firstLineChars="200"/>
        <w:jc w:val="left"/>
        <w:rPr>
          <w:rFonts w:hint="default"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当事人</w:t>
      </w:r>
      <w:r>
        <w:rPr>
          <w:rFonts w:hint="eastAsia" w:ascii="仿宋_GB2312" w:hAnsi="仿宋_GB2312" w:eastAsia="仿宋_GB2312" w:cs="仿宋_GB2312"/>
          <w:color w:val="000000"/>
          <w:sz w:val="32"/>
          <w:szCs w:val="32"/>
        </w:rPr>
        <w:t>如不服本行政处罚决定，可在收到本行政处罚决定书之日起六十日内向青岛市黄岛区人民政府申请行政复议，也可以在收到本行政处罚决定书之日起六个月内依法向青岛市黄岛区人民法院或市北区人民法院或城阳区人民法院或胶州市人民法院或青岛铁路运输法院提起行政诉讼。申请行政复议或者提起行政诉讼期间，行政处罚不停止执行。</w:t>
      </w:r>
      <w:r>
        <w:rPr>
          <w:rFonts w:hint="default" w:ascii="仿宋_GB2312" w:hAnsi="仿宋_GB2312" w:eastAsia="仿宋_GB2312" w:cs="仿宋_GB2312"/>
          <w:color w:val="000000"/>
          <w:sz w:val="32"/>
          <w:szCs w:val="32"/>
        </w:rPr>
        <w:t>(网上提交行政复议申请网址:http://124.128.58.185:9082/entrance?redirect=%2Findex)。</w:t>
      </w:r>
    </w:p>
    <w:p w14:paraId="6C687303">
      <w:pPr>
        <w:tabs>
          <w:tab w:val="left" w:pos="3990"/>
        </w:tabs>
        <w:spacing w:line="520" w:lineRule="exact"/>
        <w:ind w:firstLine="640" w:firstLineChars="200"/>
        <w:jc w:val="left"/>
        <w:rPr>
          <w:rFonts w:hint="default" w:ascii="仿宋_GB2312" w:hAnsi="仿宋_GB2312" w:eastAsia="仿宋_GB2312" w:cs="仿宋_GB2312"/>
          <w:color w:val="000000"/>
          <w:sz w:val="32"/>
          <w:szCs w:val="32"/>
        </w:rPr>
      </w:pPr>
    </w:p>
    <w:p w14:paraId="273C06CA">
      <w:pPr>
        <w:keepNext w:val="0"/>
        <w:keepLines w:val="0"/>
        <w:widowControl/>
        <w:suppressLineNumbers w:val="0"/>
        <w:ind w:firstLine="638" w:firstLineChars="200"/>
        <w:jc w:val="left"/>
        <w:rPr>
          <w:rFonts w:hint="default" w:ascii="仿宋_GB2312" w:hAnsi="仿宋_GB2312" w:eastAsia="仿宋_GB2312" w:cs="仿宋_GB2312"/>
          <w:color w:val="000000"/>
          <w:sz w:val="32"/>
          <w:szCs w:val="32"/>
        </w:rPr>
      </w:pPr>
      <w:r>
        <w:rPr>
          <w:rFonts w:ascii="仿宋" w:hAnsi="仿宋" w:eastAsia="仿宋" w:cs="仿宋"/>
          <w:color w:val="000000"/>
          <w:kern w:val="0"/>
          <w:sz w:val="31"/>
          <w:szCs w:val="31"/>
          <w:lang w:val="en-US" w:eastAsia="zh-CN" w:bidi="ar"/>
        </w:rPr>
        <w:t>附：吊销营业执照的企业名单</w:t>
      </w:r>
      <w:bookmarkStart w:id="6" w:name="_GoBack"/>
      <w:bookmarkEnd w:id="6"/>
    </w:p>
    <w:p w14:paraId="71041CFF">
      <w:pPr>
        <w:autoSpaceDE w:val="0"/>
        <w:autoSpaceDN w:val="0"/>
        <w:adjustRightInd w:val="0"/>
        <w:spacing w:line="360" w:lineRule="auto"/>
        <w:ind w:right="160" w:firstLine="160" w:firstLineChars="50"/>
        <w:jc w:val="right"/>
        <w:rPr>
          <w:rFonts w:hint="eastAsia" w:ascii="仿宋" w:hAnsi="仿宋" w:eastAsia="仿宋" w:cs="仿宋"/>
          <w:color w:val="000000"/>
          <w:sz w:val="32"/>
          <w:szCs w:val="32"/>
        </w:rPr>
      </w:pPr>
    </w:p>
    <w:p w14:paraId="55C2E193">
      <w:pPr>
        <w:autoSpaceDE w:val="0"/>
        <w:autoSpaceDN w:val="0"/>
        <w:adjustRightInd w:val="0"/>
        <w:spacing w:line="360" w:lineRule="auto"/>
        <w:ind w:right="160" w:firstLine="160" w:firstLineChars="50"/>
        <w:jc w:val="right"/>
        <w:rPr>
          <w:rFonts w:hint="eastAsia" w:ascii="仿宋" w:hAnsi="仿宋" w:eastAsia="仿宋" w:cs="仿宋"/>
          <w:color w:val="000000"/>
          <w:sz w:val="32"/>
          <w:szCs w:val="32"/>
        </w:rPr>
      </w:pPr>
    </w:p>
    <w:p w14:paraId="72E93A24">
      <w:pPr>
        <w:autoSpaceDE w:val="0"/>
        <w:autoSpaceDN w:val="0"/>
        <w:adjustRightInd w:val="0"/>
        <w:spacing w:line="360" w:lineRule="auto"/>
        <w:ind w:right="160" w:firstLine="160" w:firstLineChars="50"/>
        <w:jc w:val="right"/>
        <w:rPr>
          <w:rFonts w:ascii="仿宋" w:hAnsi="仿宋" w:eastAsia="仿宋" w:cs="Times New Roman"/>
          <w:color w:val="000000"/>
          <w:sz w:val="32"/>
          <w:szCs w:val="32"/>
        </w:rPr>
      </w:pPr>
      <w:r>
        <w:rPr>
          <w:rFonts w:hint="eastAsia" w:ascii="仿宋" w:hAnsi="仿宋" w:eastAsia="仿宋" w:cs="仿宋"/>
          <w:color w:val="000000"/>
          <w:sz w:val="32"/>
          <w:szCs w:val="32"/>
        </w:rPr>
        <w:t>青岛市黄岛区市场监督管理局</w:t>
      </w:r>
    </w:p>
    <w:p w14:paraId="174AE970">
      <w:pPr>
        <w:tabs>
          <w:tab w:val="left" w:pos="5370"/>
        </w:tabs>
        <w:spacing w:line="560" w:lineRule="exact"/>
        <w:ind w:firstLine="6080" w:firstLineChars="1900"/>
        <w:rPr>
          <w:rFonts w:hint="eastAsia" w:ascii="仿宋_GB2312" w:hAnsi="黑体" w:eastAsia="仿宋_GB2312"/>
          <w:color w:val="auto"/>
          <w:sz w:val="32"/>
          <w:szCs w:val="32"/>
        </w:rPr>
      </w:pPr>
      <w:r>
        <w:rPr>
          <w:rFonts w:hint="eastAsia" w:ascii="仿宋_GB2312" w:hAnsi="黑体" w:eastAsia="仿宋_GB2312"/>
          <w:color w:val="auto"/>
          <w:sz w:val="32"/>
          <w:szCs w:val="32"/>
        </w:rPr>
        <w:t>（印 章）</w:t>
      </w:r>
    </w:p>
    <w:p w14:paraId="68ADFDD6">
      <w:pPr>
        <w:spacing w:line="560" w:lineRule="exact"/>
        <w:ind w:right="1280" w:firstLine="600"/>
        <w:jc w:val="right"/>
        <w:rPr>
          <w:rFonts w:hint="eastAsia" w:ascii="仿宋_GB2312" w:hAnsi="Times New Roman" w:eastAsia="仿宋_GB2312" w:cs="仿宋"/>
          <w:color w:val="auto"/>
          <w:sz w:val="32"/>
          <w:szCs w:val="32"/>
        </w:rPr>
      </w:pPr>
      <w:bookmarkStart w:id="5" w:name="CALCULATE—TIME—NOW"/>
      <w:r>
        <w:rPr>
          <w:rFonts w:hint="eastAsia" w:ascii="仿宋_GB2312" w:hAnsi="黑体" w:eastAsia="仿宋_GB2312"/>
          <w:color w:val="auto"/>
          <w:sz w:val="32"/>
          <w:szCs w:val="32"/>
          <w:lang w:val="en-US" w:eastAsia="zh-CN"/>
        </w:rPr>
        <w:t xml:space="preserve">                           </w:t>
      </w:r>
      <w:r>
        <w:rPr>
          <w:rFonts w:hint="eastAsia" w:ascii="仿宋_GB2312" w:hAnsi="黑体" w:eastAsia="仿宋_GB2312"/>
          <w:color w:val="auto"/>
          <w:sz w:val="32"/>
          <w:szCs w:val="32"/>
        </w:rPr>
        <w:t>2026年10月1</w:t>
      </w:r>
      <w:r>
        <w:rPr>
          <w:rFonts w:hint="eastAsia" w:ascii="仿宋_GB2312" w:hAnsi="黑体" w:eastAsia="仿宋_GB2312"/>
          <w:color w:val="auto"/>
          <w:sz w:val="32"/>
          <w:szCs w:val="32"/>
          <w:lang w:val="en-US" w:eastAsia="zh-CN"/>
        </w:rPr>
        <w:t>6</w:t>
      </w:r>
      <w:r>
        <w:rPr>
          <w:rFonts w:hint="eastAsia" w:ascii="仿宋_GB2312" w:hAnsi="黑体" w:eastAsia="仿宋_GB2312"/>
          <w:color w:val="auto"/>
          <w:sz w:val="32"/>
          <w:szCs w:val="32"/>
        </w:rPr>
        <w:t>日</w:t>
      </w:r>
      <w:bookmarkEnd w:id="5"/>
    </w:p>
    <w:p w14:paraId="360C4EE9">
      <w:pPr>
        <w:spacing w:line="560" w:lineRule="exact"/>
        <w:ind w:right="1280" w:firstLine="600"/>
        <w:jc w:val="right"/>
        <w:rPr>
          <w:rFonts w:hint="eastAsia" w:ascii="仿宋_GB2312" w:hAnsi="仿宋_GB2312" w:eastAsia="仿宋_GB2312" w:cs="仿宋_GB2312"/>
          <w:color w:val="auto"/>
          <w:sz w:val="32"/>
          <w:szCs w:val="32"/>
        </w:rPr>
      </w:pPr>
    </w:p>
    <w:p w14:paraId="19B2012A">
      <w:pPr>
        <w:spacing w:line="560" w:lineRule="exact"/>
        <w:ind w:right="1280"/>
        <w:jc w:val="both"/>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（市场监督管理部门将依法向社会公开行政处罚决定信息）</w:t>
      </w:r>
    </w:p>
    <w:p w14:paraId="0FF551DA">
      <w:pPr>
        <w:spacing w:line="500" w:lineRule="exact"/>
        <w:rPr>
          <w:rFonts w:hint="eastAsia" w:ascii="Times New Roman" w:hAnsi="Times New Roman" w:eastAsia="仿宋_GB2312" w:cs="仿宋"/>
          <w:color w:val="auto"/>
          <w:sz w:val="32"/>
          <w:szCs w:val="32"/>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550535" cy="635"/>
                <wp:effectExtent l="0" t="0" r="0" b="0"/>
                <wp:wrapNone/>
                <wp:docPr id="29" name="直接连接符 29"/>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0pt;height:0.05pt;width:437.05pt;mso-position-horizontal:center;z-index:251660288;mso-width-relative:page;mso-height-relative:page;" filled="f" stroked="t" coordsize="21600,21600" o:gfxdata="UEsDBAoAAAAAAIdO4kAAAAAAAAAAAAAAAAAEAAAAZHJzL1BLAwQUAAAACACHTuJAn9bBodMAAAAC&#10;AQAADwAAAGRycy9kb3ducmV2LnhtbE2PzWrDMBCE74W+g9hCbo3sEuLgWg4lUOglKUn7ABtrY5ta&#10;K2MpP87Td5NLexlYZpj5tlheXKdONITWs4F0moAirrxtuTbw/fX+vAAVIrLFzjMZGCnAsnx8KDC3&#10;/sxbOu1iraSEQ44Gmhj7XOtQNeQwTH1PLN7BDw6jnEOt7YBnKXedfkmSuXbYsiw02NOqoepnd3QG&#10;tiu/yd762efHJq4P2fU6UlWPxkye0uQVVKRL/AvDDV/QoRSmvT+yDaozII/Eu4q3yGYpqP0tpMtC&#10;/0cvfwFQSwMEFAAAAAgAh07iQBVm3Ez3AQAA6QMAAA4AAABkcnMvZTJvRG9jLnhtbK1TzY7TMBC+&#10;I/EOlu80bVGW3ajpHrYsFwSVYB9g6jiJJf/J4zbtS/ACSNzgxJE7b8PyGIyd0oXl0gM5OGPP58/z&#10;fR4vrvdGs50MqJyt+Wwy5Uxa4Rplu5rfvb99dskZRrANaGdlzQ8S+fXy6ZPF4Cs5d73TjQyMSCxW&#10;g695H6OvigJFLw3gxHlpKdm6YCDSNHRFE2AgdqOL+XR6UQwuND44IRFpdTUm+ZExnEPo2lYJuXJi&#10;a6SNI2uQGiJJwl555MtcbdtKEd+2LcrIdM1JacwjHULxJo3FcgFVF8D3ShxLgHNKeKTJgLJ06Ilq&#10;BRHYNqh/qIwSwaFr40Q4U4xCsiOkYjZ95M27HrzMWshq9CfT8f/Rije7dWCqqfn8ijMLhm78/uO3&#10;Hx8+//z+icb7r18YZcimwWNF6Bu7DscZ+nVImvdtMOlPatg+W3s4WSv3kQlaLMtyWj4vOROUu6CA&#10;OIqHrT5gfCWdYSmouVY26YYKdq8xjtDfkLSsLRuod8vLF4kRqAtbun0KjSclaLu8GZ1Wza3SOm3B&#10;0G1udGA7SJ2Qv2MNf8HSKSvAfsTlVIJB1UtoXtqGxYMniyw9DZ5qMLLhTEt6SSnKyAhKn4Mk+dqS&#10;C8nY0coUbVxzoBvZ+qC6nqyY5SpThjoge3bs1tRif84z08MLX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n9bBodMAAAACAQAADwAAAAAAAAABACAAAAAiAAAAZHJzL2Rvd25yZXYueG1sUEsBAhQA&#10;FAAAAAgAh07iQBVm3Ez3AQAA6QMAAA4AAAAAAAAAAQAgAAAAIgEAAGRycy9lMm9Eb2MueG1sUEsF&#10;BgAAAAAGAAYAWQEAAIsFAAAAAA==&#10;">
                <v:fill on="f" focussize="0,0"/>
                <v:stroke weight="1.25pt" color="#000000" joinstyle="round"/>
                <v:imagedata o:title=""/>
                <o:lock v:ext="edit" aspectratio="f"/>
              </v:line>
            </w:pict>
          </mc:Fallback>
        </mc:AlternateConten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8" name="直接连接符 28"/>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oS0Hd+QEAAOcDAAAOAAAAZHJzL2Uyb0RvYy54bWytU82O&#10;0zAQviPxDpbvNG3QdiFquoctywVBJeABpo6TWPIfHrdpX4IXQOIGJ47c921YHoOxU7qwXHogB2fs&#10;GX8z3zfjxdXeaLaTAZWzNZ9NppxJK1yjbFfz9+9unjzjDCPYBrSzsuYHifxq+fjRYvCVLF3vdCMD&#10;IxCL1eBr3sfoq6JA0UsDOHFeWnK2LhiItA1d0QQYCN3oopxO58XgQuODExKRTlejkx8RwzmArm2V&#10;kCsntkbaOKIGqSESJeyVR77M1batFPFN26KMTNecmMa8UhKyN2ktlguougC+V+JYApxTwgNOBpSl&#10;pCeoFURg26D+gTJKBIeujRPhTDESyYoQi9n0gTZve/AycyGp0Z9Ex/8HK17v1oGppuYl9d2CoY7f&#10;ffr+4+OXn7efab379pWRh2QaPFYUfW3X4bhDvw6J874NJv2JDdtnaQ8naeU+MkGHF5fzcl5ecCbI&#10;Nysvs/LF/V0fML6UzrBk1Fwrm4hDBbtXGCkfhf4OScfasqHmz5/OqY8CaArxAxnGEw+0Xb6JTqvm&#10;Rmmd4jF0m2sd2A7SHOQvcSLUv8JSihVgP8Zl1zghvYTmhW1YPHgSyNLD4KkAIxvOtKR3lCwChCqC&#10;0udEUmptqYIk6yhksjauOVA/tj6oricdZrnK5KH+53qPs5oG7M99Rrp/n8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kdcAAAAKAQAADwAAAAAAAAABACAAAAAiAAAAZHJzL2Rvd25yZXYueG1s&#10;UEsBAhQAFAAAAAgAh07iQOhLQd35AQAA5wMAAA4AAAAAAAAAAQAgAAAAJgEAAGRycy9lMm9Eb2Mu&#10;eG1sUEsFBgAAAAAGAAYAWQEAAJE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lang w:val="en-US" w:eastAsia="zh-CN"/>
        </w:rPr>
        <w:t>二</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lang w:val="en-US" w:eastAsia="zh-CN"/>
        </w:rPr>
        <w:t>一</w:t>
      </w:r>
      <w:r>
        <w:rPr>
          <w:rFonts w:hint="eastAsia" w:ascii="Times New Roman" w:hAnsi="Times New Roman" w:eastAsia="仿宋_GB2312" w:cs="仿宋"/>
          <w:color w:val="auto"/>
          <w:sz w:val="32"/>
          <w:szCs w:val="32"/>
        </w:rPr>
        <w:t>份送达，一份归档。</w:t>
      </w:r>
    </w:p>
    <w:p w14:paraId="76CBADDD">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auto"/>
    <w:pitch w:val="default"/>
    <w:sig w:usb0="00000000" w:usb1="00000000" w:usb2="0000003F" w:usb3="00000000" w:csb0="603F01FF" w:csb1="FFFF0000"/>
  </w:font>
  <w:font w:name="方正小标宋简体">
    <w:altName w:val="黑体"/>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612ea307-6b13-4b25-8ba9-0f369fc3a7be"/>
  </w:docVars>
  <w:rsids>
    <w:rsidRoot w:val="5BA419F7"/>
    <w:rsid w:val="00193C35"/>
    <w:rsid w:val="0527744B"/>
    <w:rsid w:val="06D60FEA"/>
    <w:rsid w:val="07243642"/>
    <w:rsid w:val="07C42E76"/>
    <w:rsid w:val="08365B64"/>
    <w:rsid w:val="0A960A6B"/>
    <w:rsid w:val="0C262960"/>
    <w:rsid w:val="0DD51450"/>
    <w:rsid w:val="143E1E38"/>
    <w:rsid w:val="152E563E"/>
    <w:rsid w:val="16857503"/>
    <w:rsid w:val="168E6B0D"/>
    <w:rsid w:val="1AE76F16"/>
    <w:rsid w:val="1C695629"/>
    <w:rsid w:val="1D7056B4"/>
    <w:rsid w:val="1E9A304D"/>
    <w:rsid w:val="1EB11E97"/>
    <w:rsid w:val="1ED91ABE"/>
    <w:rsid w:val="1F2B5D07"/>
    <w:rsid w:val="24703456"/>
    <w:rsid w:val="28242511"/>
    <w:rsid w:val="28AE59C9"/>
    <w:rsid w:val="2A6D2DD3"/>
    <w:rsid w:val="2B1B3EFC"/>
    <w:rsid w:val="2DE10173"/>
    <w:rsid w:val="305E4E16"/>
    <w:rsid w:val="345F6EBD"/>
    <w:rsid w:val="3585615B"/>
    <w:rsid w:val="35C10D3F"/>
    <w:rsid w:val="35F97693"/>
    <w:rsid w:val="36BE7F8D"/>
    <w:rsid w:val="37F50CDF"/>
    <w:rsid w:val="38064FA4"/>
    <w:rsid w:val="3A4E178D"/>
    <w:rsid w:val="3A8C0D6A"/>
    <w:rsid w:val="3B9F29DF"/>
    <w:rsid w:val="3BAD2AB2"/>
    <w:rsid w:val="3D637520"/>
    <w:rsid w:val="3ED1739E"/>
    <w:rsid w:val="3F2604DF"/>
    <w:rsid w:val="3F934EDE"/>
    <w:rsid w:val="40402A78"/>
    <w:rsid w:val="40CA7159"/>
    <w:rsid w:val="45D96148"/>
    <w:rsid w:val="493F72CC"/>
    <w:rsid w:val="4B70351F"/>
    <w:rsid w:val="50761BB2"/>
    <w:rsid w:val="55AE459E"/>
    <w:rsid w:val="577B5E13"/>
    <w:rsid w:val="57AE1946"/>
    <w:rsid w:val="57CB145D"/>
    <w:rsid w:val="596C357E"/>
    <w:rsid w:val="59A2321A"/>
    <w:rsid w:val="5BA419F7"/>
    <w:rsid w:val="5BD15A9A"/>
    <w:rsid w:val="5C2C7D68"/>
    <w:rsid w:val="5CB14E8B"/>
    <w:rsid w:val="612E7E8C"/>
    <w:rsid w:val="61564E40"/>
    <w:rsid w:val="6512456D"/>
    <w:rsid w:val="6579460B"/>
    <w:rsid w:val="65BFBD0C"/>
    <w:rsid w:val="6A2C3EB1"/>
    <w:rsid w:val="6C0C37CF"/>
    <w:rsid w:val="6E6950E9"/>
    <w:rsid w:val="70CF02CA"/>
    <w:rsid w:val="70D624AE"/>
    <w:rsid w:val="72D1191D"/>
    <w:rsid w:val="7376089F"/>
    <w:rsid w:val="7398211A"/>
    <w:rsid w:val="742F0F2B"/>
    <w:rsid w:val="7486193A"/>
    <w:rsid w:val="769B6E27"/>
    <w:rsid w:val="76CE7F17"/>
    <w:rsid w:val="7BA711B3"/>
    <w:rsid w:val="7E851D4C"/>
    <w:rsid w:val="7E9D74C6"/>
    <w:rsid w:val="7ED7CC85"/>
    <w:rsid w:val="897DE977"/>
    <w:rsid w:val="9B6F704C"/>
    <w:rsid w:val="B2EF6394"/>
    <w:rsid w:val="BD7FC9C5"/>
    <w:rsid w:val="BDA78EBF"/>
    <w:rsid w:val="BF654956"/>
    <w:rsid w:val="E64B8823"/>
    <w:rsid w:val="FAF31200"/>
    <w:rsid w:val="FBCF0292"/>
    <w:rsid w:val="FED32655"/>
    <w:rsid w:val="FFC7FA87"/>
    <w:rsid w:val="FFF6DBF0"/>
    <w:rsid w:val="FFFC4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customStyle="1" w:styleId="8">
    <w:name w:val="Table Paragraph"/>
    <w:basedOn w:val="1"/>
    <w:qFormat/>
    <w:uiPriority w:val="1"/>
    <w:pPr>
      <w:autoSpaceDE w:val="0"/>
      <w:autoSpaceDN w:val="0"/>
      <w:adjustRightInd w:val="0"/>
      <w:jc w:val="left"/>
    </w:pPr>
    <w:rPr>
      <w:rFonts w:ascii="Arial Unicode MS" w:hAnsi="Times New Roman" w:eastAsia="Arial Unicode MS" w:cs="Arial Unicode MS"/>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1374</Words>
  <Characters>1535</Characters>
  <Lines>0</Lines>
  <Paragraphs>0</Paragraphs>
  <TotalTime>9</TotalTime>
  <ScaleCrop>false</ScaleCrop>
  <LinksUpToDate>false</LinksUpToDate>
  <CharactersWithSpaces>1564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2021-07-26T02:04:00Z</dcterms:created>
  <dc:creator>胖林宝宝噜啦噜～</dc:creator>
  <cp:lastModifiedBy>剑胆琴心</cp:lastModifiedBy>
  <cp:lastPrinted>2026-10-19T06:48:59Z</cp:lastPrinted>
  <dcterms:modified xsi:type="dcterms:W3CDTF">2026-10-19T06:53:49Z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A08BC875A73940649EBF0849FEFD2D20_13</vt:lpwstr>
  </property>
  <property fmtid="{D5CDD505-2E9C-101B-9397-08002B2CF9AE}" pid="4" name="KSOTemplateDocerSaveRecord">
    <vt:lpwstr>eyJoZGlkIjoiMDAyNmRhZTgwZmMxNWQzY2QzNDdlOGQxNmMzMWJjNmMiLCJ1c2VySWQiOiI0Njc2MDg1MTgifQ==</vt:lpwstr>
  </property>
</Properties>
</file>