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7EB3B">
      <w:pPr>
        <w:pStyle w:val="6"/>
        <w:spacing w:before="0" w:after="0" w:line="440" w:lineRule="exact"/>
        <w:jc w:val="center"/>
        <w:rPr>
          <w:rFonts w:ascii="黑体" w:hAnsi="黑体" w:eastAsia="黑体" w:cs="Times New Roman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青岛市黄岛区市场监督管理局</w:t>
      </w:r>
    </w:p>
    <w:p w14:paraId="74F14F9B">
      <w:pPr>
        <w:autoSpaceDE w:val="0"/>
        <w:autoSpaceDN w:val="0"/>
        <w:adjustRightInd w:val="0"/>
        <w:spacing w:line="440" w:lineRule="exact"/>
        <w:jc w:val="center"/>
        <w:rPr>
          <w:rFonts w:cs="Times New Roman"/>
          <w:b/>
          <w:bCs/>
          <w:color w:val="000000"/>
          <w:kern w:val="0"/>
          <w:sz w:val="44"/>
          <w:szCs w:val="44"/>
        </w:rPr>
      </w:pPr>
      <w:r>
        <w:rPr>
          <w:rFonts w:hint="eastAsia" w:cs="宋体"/>
          <w:b/>
          <w:bCs/>
          <w:color w:val="000000"/>
          <w:kern w:val="0"/>
          <w:sz w:val="44"/>
          <w:szCs w:val="44"/>
        </w:rPr>
        <w:t>行政处罚告知书</w:t>
      </w:r>
    </w:p>
    <w:p w14:paraId="47FC49E9">
      <w:pPr>
        <w:rPr>
          <w:rFonts w:ascii="仿宋" w:hAnsi="仿宋" w:eastAsia="仿宋" w:cs="Times New Roman"/>
          <w:color w:val="000000"/>
          <w:kern w:val="0"/>
          <w:sz w:val="32"/>
          <w:szCs w:val="32"/>
        </w:rPr>
      </w:pPr>
      <w:r>
        <w:rPr>
          <w:rFonts w:ascii="仿宋_GB2312" w:hAnsi="仿宋" w:eastAsia="仿宋_GB2312" w:cs="仿宋_GB2312"/>
          <w:color w:val="000000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青黄市监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</w:rPr>
        <w:t>罚告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〔</w:t>
      </w:r>
      <w:r>
        <w:rPr>
          <w:rFonts w:ascii="仿宋" w:hAnsi="仿宋" w:eastAsia="仿宋" w:cs="仿宋"/>
          <w:color w:val="000000"/>
          <w:sz w:val="32"/>
          <w:szCs w:val="32"/>
          <w:u w:val="none"/>
        </w:rPr>
        <w:t>202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〕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1262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-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1274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号</w:t>
      </w:r>
    </w:p>
    <w:p w14:paraId="436BCE17">
      <w:pPr>
        <w:spacing w:line="480" w:lineRule="exact"/>
        <w:rPr>
          <w:rFonts w:ascii="仿宋" w:hAnsi="仿宋" w:eastAsia="仿宋" w:cs="Times New Roman"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青岛德金晟旺商贸有限公司等</w:t>
      </w:r>
      <w:r>
        <w:rPr>
          <w:rFonts w:hint="default" w:ascii="仿宋_GB2312" w:hAnsi="仿宋" w:eastAsia="仿宋_GB2312" w:cs="仿宋_GB2312"/>
          <w:color w:val="000000"/>
          <w:sz w:val="32"/>
          <w:szCs w:val="32"/>
          <w:lang w:val="en-US" w:eastAsia="zh-CN"/>
        </w:rPr>
        <w:t>13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户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shd w:val="clear" w:color="auto" w:fill="auto"/>
        </w:rPr>
        <w:t>企业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shd w:val="clear" w:color="auto" w:fill="auto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shd w:val="clear" w:color="auto" w:fill="auto"/>
          <w:lang w:val="en-US" w:eastAsia="zh-CN"/>
        </w:rPr>
        <w:t>名单附后）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：</w:t>
      </w:r>
    </w:p>
    <w:p w14:paraId="1E2CC213">
      <w:pPr>
        <w:widowControl/>
        <w:snapToGrid w:val="0"/>
        <w:spacing w:line="480" w:lineRule="exact"/>
        <w:ind w:firstLine="640" w:firstLineChars="200"/>
        <w:rPr>
          <w:rFonts w:hint="eastAsia" w:ascii="仿宋" w:hAnsi="仿宋" w:eastAsia="仿宋" w:cs="仿宋"/>
          <w:kern w:val="1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由本局立案调查的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青岛德金晟旺商贸有限公司等</w:t>
      </w:r>
      <w:r>
        <w:rPr>
          <w:rFonts w:hint="default" w:ascii="仿宋_GB2312" w:hAnsi="仿宋" w:eastAsia="仿宋_GB2312" w:cs="仿宋_GB2312"/>
          <w:color w:val="000000"/>
          <w:sz w:val="32"/>
          <w:szCs w:val="32"/>
          <w:lang w:val="en-US" w:eastAsia="zh-CN"/>
        </w:rPr>
        <w:t>13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户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shd w:val="clear" w:color="auto" w:fill="auto"/>
          <w14:textFill>
            <w14:solidFill>
              <w14:schemeClr w14:val="tx1"/>
            </w14:solidFill>
          </w14:textFill>
        </w:rPr>
        <w:t>企业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涉嫌</w:t>
      </w:r>
      <w:r>
        <w:rPr>
          <w:rFonts w:hint="eastAsia" w:ascii="仿宋" w:hAnsi="仿宋" w:eastAsia="仿宋" w:cs="仿宋"/>
          <w:sz w:val="32"/>
          <w:szCs w:val="32"/>
          <w:u w:val="none"/>
        </w:rPr>
        <w:t>连续2年未按规定报送年度报告被列入经营异常名录未改正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且</w:t>
      </w:r>
      <w:r>
        <w:rPr>
          <w:rFonts w:hint="eastAsia" w:ascii="仿宋" w:hAnsi="仿宋" w:eastAsia="仿宋" w:cs="仿宋"/>
          <w:sz w:val="32"/>
          <w:szCs w:val="32"/>
          <w:u w:val="none"/>
        </w:rPr>
        <w:t>通过登记的住所或者经营场所无法取得联系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一案，已调查终结。依据《中华人民共和国行政处罚法》第四十四条的规定，现将本局拟做出行政处罚的事实、理由、依据及处罚内容告知如下：</w:t>
      </w:r>
      <w:r>
        <w:rPr>
          <w:rFonts w:hint="eastAsia" w:ascii="仿宋" w:hAnsi="仿宋" w:eastAsia="仿宋" w:cs="仿宋"/>
          <w:kern w:val="1"/>
          <w:sz w:val="32"/>
          <w:szCs w:val="32"/>
          <w:u w:val="none"/>
          <w:lang w:val="en-US" w:eastAsia="zh-CN"/>
        </w:rPr>
        <w:t>经查：上述</w:t>
      </w:r>
      <w:bookmarkStart w:id="0" w:name="_GoBack"/>
      <w:bookmarkEnd w:id="0"/>
      <w:r>
        <w:rPr>
          <w:rFonts w:hint="eastAsia" w:ascii="仿宋" w:hAnsi="仿宋" w:eastAsia="仿宋" w:cs="仿宋"/>
          <w:kern w:val="1"/>
          <w:sz w:val="32"/>
          <w:szCs w:val="32"/>
          <w:u w:val="none"/>
          <w:lang w:val="en-US" w:eastAsia="zh-CN"/>
        </w:rPr>
        <w:t>企业2023、2024年连续两个年度未通过国家企业信用信息公示系统进行年度报告，被本局列入经营异常名录后未改正，本局执法人员对上述企业进行现场检查发现，通过登记的住所或经营场所无法与上述企业取得联系。</w:t>
      </w:r>
    </w:p>
    <w:p w14:paraId="388A4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ascii="仿宋" w:hAnsi="仿宋" w:eastAsia="仿宋" w:cs="Times New Roman"/>
          <w:sz w:val="32"/>
          <w:szCs w:val="32"/>
          <w:u w:val="none"/>
        </w:rPr>
      </w:pPr>
      <w:r>
        <w:rPr>
          <w:rFonts w:hint="eastAsia" w:ascii="仿宋" w:hAnsi="仿宋" w:eastAsia="仿宋" w:cs="仿宋"/>
          <w:sz w:val="32"/>
          <w:szCs w:val="32"/>
          <w:u w:val="none"/>
        </w:rPr>
        <w:t>上述事实，主要有以下证据证明：</w:t>
      </w:r>
    </w:p>
    <w:p w14:paraId="3143C7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ascii="仿宋" w:hAnsi="仿宋" w:eastAsia="仿宋" w:cs="Times New Roman"/>
          <w:sz w:val="32"/>
          <w:szCs w:val="32"/>
          <w:u w:val="none"/>
        </w:rPr>
      </w:pPr>
      <w:r>
        <w:rPr>
          <w:rFonts w:ascii="仿宋" w:hAnsi="仿宋" w:eastAsia="仿宋" w:cs="仿宋"/>
          <w:sz w:val="32"/>
          <w:szCs w:val="32"/>
          <w:u w:val="none"/>
        </w:rPr>
        <w:t>1.</w:t>
      </w:r>
      <w:r>
        <w:rPr>
          <w:rFonts w:ascii="仿宋" w:hAnsi="仿宋" w:eastAsia="仿宋" w:cs="仿宋"/>
          <w:szCs w:val="21"/>
          <w:u w:val="non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青岛市局通过电子政务办公系统下发的2023、2024连续两年未年报企业名单，证明当事人连续2年未报送年报的事实</w:t>
      </w:r>
      <w:r>
        <w:rPr>
          <w:rFonts w:hint="eastAsia" w:ascii="仿宋" w:hAnsi="仿宋" w:eastAsia="仿宋" w:cs="仿宋"/>
          <w:sz w:val="32"/>
          <w:szCs w:val="32"/>
          <w:u w:val="none"/>
        </w:rPr>
        <w:t>；</w:t>
      </w:r>
    </w:p>
    <w:p w14:paraId="146DF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  <w:u w:val="none"/>
        </w:rPr>
      </w:pPr>
      <w:r>
        <w:rPr>
          <w:rFonts w:ascii="仿宋" w:hAnsi="仿宋" w:eastAsia="仿宋" w:cs="仿宋"/>
          <w:sz w:val="32"/>
          <w:szCs w:val="32"/>
          <w:u w:val="none"/>
        </w:rPr>
        <w:t>2.</w:t>
      </w:r>
      <w:r>
        <w:rPr>
          <w:rFonts w:hint="eastAsia" w:ascii="仿宋" w:hAnsi="仿宋" w:eastAsia="仿宋" w:cs="仿宋"/>
          <w:sz w:val="32"/>
          <w:szCs w:val="32"/>
          <w:u w:val="none"/>
        </w:rPr>
        <w:t>现场检查笔录、现场照片，证明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执法人员在</w:t>
      </w:r>
      <w:r>
        <w:rPr>
          <w:rFonts w:hint="eastAsia" w:ascii="仿宋" w:hAnsi="仿宋" w:eastAsia="仿宋" w:cs="仿宋"/>
          <w:sz w:val="32"/>
          <w:szCs w:val="32"/>
          <w:u w:val="none"/>
        </w:rPr>
        <w:t>当事人登记的住所无法取得联系的现场情况</w:t>
      </w:r>
      <w:r>
        <w:rPr>
          <w:rFonts w:ascii="仿宋" w:hAnsi="仿宋" w:eastAsia="仿宋" w:cs="仿宋"/>
          <w:sz w:val="32"/>
          <w:szCs w:val="32"/>
          <w:u w:val="none"/>
        </w:rPr>
        <w:t>;</w:t>
      </w:r>
    </w:p>
    <w:p w14:paraId="027D9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default" w:ascii="仿宋" w:hAnsi="仿宋" w:eastAsia="仿宋" w:cs="仿宋"/>
          <w:kern w:val="1"/>
          <w:sz w:val="32"/>
          <w:szCs w:val="32"/>
          <w:u w:val="none"/>
          <w:lang w:val="en-US" w:eastAsia="zh-CN"/>
        </w:rPr>
      </w:pPr>
      <w:r>
        <w:rPr>
          <w:rFonts w:ascii="仿宋" w:hAnsi="仿宋" w:eastAsia="仿宋" w:cs="仿宋"/>
          <w:sz w:val="32"/>
          <w:szCs w:val="32"/>
          <w:u w:val="none"/>
        </w:rPr>
        <w:t>3.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国家企业信用信息公示系统当事人连续2年未报送年报，被本局列入经营异常名录后未改正的截图</w:t>
      </w:r>
      <w:r>
        <w:rPr>
          <w:rFonts w:hint="eastAsia" w:ascii="仿宋" w:hAnsi="仿宋" w:eastAsia="仿宋" w:cs="仿宋"/>
          <w:sz w:val="32"/>
          <w:szCs w:val="32"/>
          <w:u w:val="none"/>
        </w:rPr>
        <w:t>，证明当事人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连续2年未报送年报，被本局列入经营异常名录后且未改正的事实</w:t>
      </w:r>
      <w:r>
        <w:rPr>
          <w:rFonts w:hint="eastAsia" w:ascii="仿宋" w:hAnsi="仿宋" w:eastAsia="仿宋" w:cs="仿宋"/>
          <w:sz w:val="32"/>
          <w:szCs w:val="32"/>
          <w:u w:val="none"/>
        </w:rPr>
        <w:t>。</w:t>
      </w:r>
    </w:p>
    <w:p w14:paraId="2DEC582D">
      <w:pPr>
        <w:widowControl/>
        <w:snapToGrid w:val="0"/>
        <w:spacing w:line="480" w:lineRule="exact"/>
        <w:ind w:firstLine="640" w:firstLineChars="200"/>
        <w:rPr>
          <w:rFonts w:ascii="仿宋" w:hAnsi="仿宋" w:eastAsia="仿宋" w:cs="Times New Roman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上述企业连续2年未按规定报送年度报告被列入经营异常名录未改正，且通过登记的住所或者经营场所无法取得联系</w:t>
      </w:r>
      <w:r>
        <w:rPr>
          <w:rFonts w:hint="eastAsia" w:ascii="仿宋" w:hAnsi="仿宋" w:eastAsia="仿宋" w:cs="仿宋"/>
          <w:sz w:val="32"/>
          <w:szCs w:val="32"/>
          <w:u w:val="none"/>
        </w:rPr>
        <w:t>的行为涉嫌违反了《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企业信息公示暂行条例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》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第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十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八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条第一款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的规定，根</w:t>
      </w:r>
      <w:r>
        <w:rPr>
          <w:rFonts w:hint="eastAsia" w:ascii="仿宋" w:hAnsi="仿宋" w:eastAsia="仿宋" w:cs="仿宋"/>
          <w:sz w:val="32"/>
          <w:szCs w:val="32"/>
          <w:u w:val="none"/>
        </w:rPr>
        <w:t>据《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企业信息公示暂行条例</w:t>
      </w:r>
      <w:r>
        <w:rPr>
          <w:rFonts w:hint="eastAsia" w:ascii="仿宋" w:hAnsi="仿宋" w:eastAsia="仿宋" w:cs="仿宋"/>
          <w:sz w:val="32"/>
          <w:szCs w:val="32"/>
          <w:u w:val="none"/>
        </w:rPr>
        <w:t>》第十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八</w:t>
      </w:r>
      <w:r>
        <w:rPr>
          <w:rFonts w:hint="eastAsia" w:ascii="仿宋" w:hAnsi="仿宋" w:eastAsia="仿宋" w:cs="仿宋"/>
          <w:sz w:val="32"/>
          <w:szCs w:val="32"/>
          <w:u w:val="none"/>
        </w:rPr>
        <w:t>条第一款“</w:t>
      </w:r>
      <w:r>
        <w:rPr>
          <w:rFonts w:hint="eastAsia" w:ascii="宋体" w:hAnsi="宋体" w:eastAsia="宋体" w:cs="宋体"/>
          <w:sz w:val="32"/>
          <w:szCs w:val="32"/>
          <w:u w:val="none"/>
        </w:rPr>
        <w:t>……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企业因连续2年未按规定报送年度报告被列入经营异常名录未改正，且通过登记的住所或者经营场所无法取得联系的，由县级以上市场监督管理部门吊销营业执照。</w:t>
      </w:r>
      <w:r>
        <w:rPr>
          <w:rFonts w:hint="eastAsia" w:ascii="仿宋" w:hAnsi="仿宋" w:eastAsia="仿宋" w:cs="仿宋"/>
          <w:kern w:val="1"/>
          <w:sz w:val="32"/>
          <w:szCs w:val="32"/>
          <w:u w:val="none"/>
        </w:rPr>
        <w:t>”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的规定</w:t>
      </w:r>
      <w:r>
        <w:rPr>
          <w:rFonts w:hint="eastAsia" w:ascii="仿宋" w:hAnsi="仿宋" w:eastAsia="仿宋" w:cs="仿宋"/>
          <w:kern w:val="1"/>
          <w:sz w:val="32"/>
          <w:szCs w:val="32"/>
          <w:u w:val="none"/>
        </w:rPr>
        <w:t>，</w:t>
      </w:r>
      <w:r>
        <w:rPr>
          <w:rFonts w:hint="eastAsia" w:ascii="仿宋" w:hAnsi="仿宋" w:eastAsia="仿宋" w:cs="仿宋"/>
          <w:sz w:val="32"/>
          <w:szCs w:val="32"/>
          <w:u w:val="none"/>
        </w:rPr>
        <w:t>拟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作出</w:t>
      </w:r>
      <w:r>
        <w:rPr>
          <w:rFonts w:hint="eastAsia" w:ascii="仿宋" w:hAnsi="仿宋" w:eastAsia="仿宋" w:cs="仿宋"/>
          <w:sz w:val="32"/>
          <w:szCs w:val="32"/>
          <w:u w:val="none"/>
        </w:rPr>
        <w:t>处罚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如下</w:t>
      </w:r>
      <w:r>
        <w:rPr>
          <w:rFonts w:hint="eastAsia" w:ascii="仿宋" w:hAnsi="仿宋" w:eastAsia="仿宋" w:cs="仿宋"/>
          <w:sz w:val="32"/>
          <w:szCs w:val="32"/>
          <w:u w:val="none"/>
        </w:rPr>
        <w:t>：</w:t>
      </w:r>
    </w:p>
    <w:p w14:paraId="49765D5F">
      <w:pPr>
        <w:tabs>
          <w:tab w:val="left" w:pos="7020"/>
        </w:tabs>
        <w:snapToGrid w:val="0"/>
        <w:spacing w:line="480" w:lineRule="exact"/>
        <w:ind w:right="23" w:firstLine="640" w:firstLineChars="200"/>
        <w:rPr>
          <w:rStyle w:val="7"/>
          <w:rFonts w:ascii="仿宋" w:hAnsi="仿宋" w:eastAsia="仿宋" w:cs="Times New Roman"/>
          <w:sz w:val="32"/>
          <w:szCs w:val="32"/>
          <w:u w:val="none"/>
        </w:rPr>
      </w:pPr>
      <w:r>
        <w:rPr>
          <w:rStyle w:val="7"/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吊销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上述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shd w:val="clear" w:color="auto" w:fill="auto"/>
          <w14:textFill>
            <w14:solidFill>
              <w14:schemeClr w14:val="tx1"/>
            </w14:solidFill>
          </w14:textFill>
        </w:rPr>
        <w:t>企业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的营业执照</w:t>
      </w:r>
      <w:r>
        <w:rPr>
          <w:rStyle w:val="7"/>
          <w:rFonts w:hint="eastAsia" w:ascii="仿宋" w:hAnsi="仿宋" w:eastAsia="仿宋" w:cs="仿宋"/>
          <w:sz w:val="32"/>
          <w:szCs w:val="32"/>
          <w:u w:val="none"/>
        </w:rPr>
        <w:t>。</w:t>
      </w:r>
    </w:p>
    <w:p w14:paraId="1AF56C50">
      <w:pPr>
        <w:autoSpaceDE w:val="0"/>
        <w:autoSpaceDN w:val="0"/>
        <w:spacing w:line="480" w:lineRule="exact"/>
        <w:ind w:firstLine="640" w:firstLineChars="200"/>
        <w:rPr>
          <w:rStyle w:val="7"/>
          <w:rFonts w:hint="eastAsia" w:ascii="仿宋" w:hAnsi="仿宋" w:eastAsia="仿宋" w:cs="仿宋"/>
          <w:sz w:val="32"/>
          <w:szCs w:val="32"/>
          <w:u w:val="none"/>
        </w:rPr>
      </w:pPr>
      <w:r>
        <w:rPr>
          <w:rStyle w:val="7"/>
          <w:rFonts w:hint="eastAsia" w:ascii="仿宋" w:hAnsi="仿宋" w:eastAsia="仿宋" w:cs="仿宋"/>
          <w:sz w:val="32"/>
          <w:szCs w:val="32"/>
          <w:u w:val="none"/>
        </w:rPr>
        <w:t>依据《中华人民共和国行政处罚法》第四十四条、第四十五条、第六十三条、第六十四条第一项，以及《市场监督管理行政处罚听证办法》第五条以及《山东省行政处罚听证程序实施办法》第二条的规定，</w:t>
      </w:r>
      <w:r>
        <w:rPr>
          <w:rStyle w:val="7"/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上述企业</w:t>
      </w:r>
      <w:r>
        <w:rPr>
          <w:rStyle w:val="7"/>
          <w:rFonts w:hint="eastAsia" w:ascii="仿宋" w:hAnsi="仿宋" w:eastAsia="仿宋" w:cs="仿宋"/>
          <w:sz w:val="32"/>
          <w:szCs w:val="32"/>
          <w:u w:val="none"/>
        </w:rPr>
        <w:t>有权进行陈述、申辩，并可要求举行听证。</w:t>
      </w:r>
      <w:r>
        <w:rPr>
          <w:rStyle w:val="7"/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上述企业</w:t>
      </w:r>
      <w:r>
        <w:rPr>
          <w:rStyle w:val="7"/>
          <w:rFonts w:hint="eastAsia" w:ascii="仿宋" w:hAnsi="仿宋" w:eastAsia="仿宋" w:cs="仿宋"/>
          <w:sz w:val="32"/>
          <w:szCs w:val="32"/>
          <w:u w:val="none"/>
        </w:rPr>
        <w:t>自收到本告知书之日起五个工作日内，未行使陈述、申辩权，未要求举行听证的，视为放弃此权力。</w:t>
      </w:r>
    </w:p>
    <w:p w14:paraId="16E87AD4">
      <w:pPr>
        <w:autoSpaceDE w:val="0"/>
        <w:autoSpaceDN w:val="0"/>
        <w:spacing w:line="480" w:lineRule="exact"/>
        <w:ind w:firstLine="640" w:firstLineChars="200"/>
        <w:rPr>
          <w:rStyle w:val="7"/>
          <w:rFonts w:hint="eastAsia" w:ascii="仿宋" w:hAnsi="仿宋" w:eastAsia="仿宋" w:cs="仿宋"/>
          <w:sz w:val="32"/>
          <w:szCs w:val="32"/>
          <w:u w:val="none"/>
          <w:lang w:eastAsia="zh-CN"/>
        </w:rPr>
      </w:pPr>
    </w:p>
    <w:p w14:paraId="5B870D88">
      <w:pPr>
        <w:autoSpaceDE w:val="0"/>
        <w:autoSpaceDN w:val="0"/>
        <w:spacing w:line="480" w:lineRule="exact"/>
        <w:ind w:firstLine="640" w:firstLineChars="200"/>
        <w:rPr>
          <w:rStyle w:val="7"/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Style w:val="7"/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附：拟吊销营业执照的企业名单</w:t>
      </w:r>
    </w:p>
    <w:p w14:paraId="6018F5B5">
      <w:pPr>
        <w:autoSpaceDE w:val="0"/>
        <w:autoSpaceDN w:val="0"/>
        <w:spacing w:line="480" w:lineRule="exact"/>
        <w:ind w:firstLine="640" w:firstLineChars="200"/>
        <w:rPr>
          <w:rStyle w:val="7"/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 w14:paraId="5521F52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Style w:val="7"/>
          <w:rFonts w:hint="eastAsia" w:ascii="仿宋" w:hAnsi="仿宋" w:eastAsia="仿宋" w:cs="仿宋"/>
          <w:sz w:val="32"/>
          <w:szCs w:val="32"/>
          <w:u w:val="none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杨一聪、王丽丽</w:t>
      </w:r>
    </w:p>
    <w:p w14:paraId="52086E0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联系电话：0532-87186315</w:t>
      </w:r>
    </w:p>
    <w:p w14:paraId="65360A0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联系地址：山东省青岛市黄岛区灵岩路77号2号楼401室 </w:t>
      </w:r>
    </w:p>
    <w:p w14:paraId="02564A24">
      <w:pPr>
        <w:autoSpaceDE w:val="0"/>
        <w:autoSpaceDN w:val="0"/>
        <w:adjustRightInd w:val="0"/>
        <w:spacing w:line="480" w:lineRule="exact"/>
        <w:ind w:firstLine="640" w:firstLineChars="200"/>
        <w:jc w:val="left"/>
        <w:rPr>
          <w:rStyle w:val="7"/>
          <w:rFonts w:hint="default" w:ascii="仿宋" w:hAnsi="仿宋" w:eastAsia="仿宋" w:cs="Times New Roman"/>
          <w:sz w:val="32"/>
          <w:szCs w:val="32"/>
          <w:u w:val="none"/>
          <w:lang w:val="en-US" w:eastAsia="zh-CN"/>
        </w:rPr>
      </w:pPr>
    </w:p>
    <w:p w14:paraId="56F4A268">
      <w:pPr>
        <w:autoSpaceDE w:val="0"/>
        <w:autoSpaceDN w:val="0"/>
        <w:adjustRightInd w:val="0"/>
        <w:spacing w:line="480" w:lineRule="exact"/>
        <w:jc w:val="left"/>
        <w:rPr>
          <w:rStyle w:val="7"/>
          <w:rFonts w:ascii="仿宋" w:hAnsi="仿宋" w:eastAsia="仿宋" w:cs="Times New Roman"/>
          <w:sz w:val="32"/>
          <w:szCs w:val="32"/>
          <w:u w:val="single"/>
        </w:rPr>
      </w:pPr>
    </w:p>
    <w:p w14:paraId="0EBAB0A9">
      <w:pPr>
        <w:autoSpaceDE w:val="0"/>
        <w:autoSpaceDN w:val="0"/>
        <w:adjustRightInd w:val="0"/>
        <w:spacing w:line="480" w:lineRule="exact"/>
        <w:jc w:val="left"/>
        <w:rPr>
          <w:rStyle w:val="7"/>
          <w:rFonts w:ascii="仿宋" w:hAnsi="仿宋" w:eastAsia="仿宋" w:cs="Times New Roman"/>
          <w:sz w:val="32"/>
          <w:szCs w:val="32"/>
          <w:u w:val="single"/>
        </w:rPr>
      </w:pPr>
    </w:p>
    <w:p w14:paraId="1C5FD302">
      <w:pPr>
        <w:autoSpaceDE w:val="0"/>
        <w:autoSpaceDN w:val="0"/>
        <w:adjustRightInd w:val="0"/>
        <w:spacing w:line="480" w:lineRule="exact"/>
        <w:jc w:val="left"/>
        <w:rPr>
          <w:rStyle w:val="7"/>
          <w:rFonts w:ascii="仿宋" w:hAnsi="仿宋" w:eastAsia="仿宋" w:cs="Times New Roman"/>
          <w:sz w:val="32"/>
          <w:szCs w:val="32"/>
          <w:u w:val="single"/>
        </w:rPr>
      </w:pPr>
    </w:p>
    <w:p w14:paraId="72ACACFA">
      <w:pPr>
        <w:autoSpaceDE w:val="0"/>
        <w:autoSpaceDN w:val="0"/>
        <w:adjustRightInd w:val="0"/>
        <w:spacing w:line="480" w:lineRule="exact"/>
        <w:jc w:val="left"/>
        <w:rPr>
          <w:rStyle w:val="7"/>
          <w:rFonts w:ascii="仿宋" w:hAnsi="仿宋" w:eastAsia="仿宋" w:cs="Times New Roman"/>
          <w:sz w:val="32"/>
          <w:szCs w:val="32"/>
          <w:u w:val="single"/>
        </w:rPr>
      </w:pPr>
    </w:p>
    <w:p w14:paraId="3F5A8F88">
      <w:pPr>
        <w:autoSpaceDE w:val="0"/>
        <w:autoSpaceDN w:val="0"/>
        <w:adjustRightInd w:val="0"/>
        <w:spacing w:line="360" w:lineRule="auto"/>
        <w:ind w:right="16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354A85D1">
      <w:pPr>
        <w:autoSpaceDE w:val="0"/>
        <w:autoSpaceDN w:val="0"/>
        <w:adjustRightInd w:val="0"/>
        <w:spacing w:line="360" w:lineRule="auto"/>
        <w:ind w:right="160" w:firstLine="160" w:firstLineChars="50"/>
        <w:jc w:val="right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34C00DDB">
      <w:pPr>
        <w:autoSpaceDE w:val="0"/>
        <w:autoSpaceDN w:val="0"/>
        <w:adjustRightInd w:val="0"/>
        <w:spacing w:line="360" w:lineRule="auto"/>
        <w:ind w:right="160" w:firstLine="160" w:firstLineChars="50"/>
        <w:jc w:val="right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青岛市黄岛区市场监督管理局</w:t>
      </w:r>
    </w:p>
    <w:p w14:paraId="6A7294A9">
      <w:pPr>
        <w:rPr>
          <w:rFonts w:ascii="仿宋" w:hAnsi="仿宋" w:eastAsia="仿宋" w:cs="Times New Roman"/>
          <w:sz w:val="32"/>
          <w:szCs w:val="32"/>
          <w:u w:val="single"/>
        </w:rPr>
      </w:pP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sz w:val="32"/>
          <w:szCs w:val="32"/>
          <w:u w:val="single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u w:val="single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  <w:u w:val="single"/>
        </w:rPr>
        <w:t>日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</w:t>
      </w:r>
    </w:p>
    <w:p w14:paraId="3EEDDF3B">
      <w:pPr>
        <w:rPr>
          <w:rFonts w:ascii="仿宋" w:hAnsi="仿宋" w:eastAsia="仿宋" w:cs="Times New Roman"/>
        </w:rPr>
      </w:pPr>
      <w:r>
        <w:rPr>
          <w:rFonts w:hint="eastAsia" w:ascii="仿宋" w:hAnsi="仿宋" w:eastAsia="仿宋" w:cs="仿宋"/>
          <w:sz w:val="32"/>
          <w:szCs w:val="32"/>
        </w:rPr>
        <w:t>本文书一式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两</w:t>
      </w:r>
      <w:r>
        <w:rPr>
          <w:rFonts w:hint="eastAsia" w:ascii="仿宋" w:hAnsi="仿宋" w:eastAsia="仿宋" w:cs="仿宋"/>
          <w:sz w:val="32"/>
          <w:szCs w:val="32"/>
        </w:rPr>
        <w:t>份，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份送达，一份归档。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hNmY3MWQ2YjJmZjJjODI0NDdhNTM2MzQ1MGMwNGMifQ=="/>
  </w:docVars>
  <w:rsids>
    <w:rsidRoot w:val="00C31E7D"/>
    <w:rsid w:val="00024444"/>
    <w:rsid w:val="00033B67"/>
    <w:rsid w:val="000435C1"/>
    <w:rsid w:val="00047AEE"/>
    <w:rsid w:val="00082D4C"/>
    <w:rsid w:val="000948B5"/>
    <w:rsid w:val="000C74EC"/>
    <w:rsid w:val="000F0123"/>
    <w:rsid w:val="001026A0"/>
    <w:rsid w:val="001200E6"/>
    <w:rsid w:val="00126BE2"/>
    <w:rsid w:val="001641D9"/>
    <w:rsid w:val="00165785"/>
    <w:rsid w:val="00177543"/>
    <w:rsid w:val="00182CAC"/>
    <w:rsid w:val="001872E1"/>
    <w:rsid w:val="00194004"/>
    <w:rsid w:val="001B22E2"/>
    <w:rsid w:val="001B2662"/>
    <w:rsid w:val="001B2F3A"/>
    <w:rsid w:val="001B777F"/>
    <w:rsid w:val="001C36CB"/>
    <w:rsid w:val="00200E4F"/>
    <w:rsid w:val="0021352F"/>
    <w:rsid w:val="0022480D"/>
    <w:rsid w:val="00286A65"/>
    <w:rsid w:val="00291C58"/>
    <w:rsid w:val="0029286A"/>
    <w:rsid w:val="002A7043"/>
    <w:rsid w:val="002C1174"/>
    <w:rsid w:val="002C3D97"/>
    <w:rsid w:val="002C5057"/>
    <w:rsid w:val="002D3AAF"/>
    <w:rsid w:val="002E3191"/>
    <w:rsid w:val="002E3D43"/>
    <w:rsid w:val="00305270"/>
    <w:rsid w:val="0030542B"/>
    <w:rsid w:val="00315B20"/>
    <w:rsid w:val="00347647"/>
    <w:rsid w:val="00363FC0"/>
    <w:rsid w:val="00365B1B"/>
    <w:rsid w:val="00394176"/>
    <w:rsid w:val="003A2646"/>
    <w:rsid w:val="003C177E"/>
    <w:rsid w:val="003C5BE9"/>
    <w:rsid w:val="003D7B7E"/>
    <w:rsid w:val="003E25B9"/>
    <w:rsid w:val="003E3400"/>
    <w:rsid w:val="003E4407"/>
    <w:rsid w:val="003F42F4"/>
    <w:rsid w:val="00475F16"/>
    <w:rsid w:val="00480434"/>
    <w:rsid w:val="00485D3A"/>
    <w:rsid w:val="004A0524"/>
    <w:rsid w:val="004C7B1A"/>
    <w:rsid w:val="004D13F3"/>
    <w:rsid w:val="004D40C1"/>
    <w:rsid w:val="004D742F"/>
    <w:rsid w:val="004E02EE"/>
    <w:rsid w:val="004E748B"/>
    <w:rsid w:val="004F3264"/>
    <w:rsid w:val="0050588D"/>
    <w:rsid w:val="0051568C"/>
    <w:rsid w:val="00537730"/>
    <w:rsid w:val="00546427"/>
    <w:rsid w:val="005704EB"/>
    <w:rsid w:val="00572C22"/>
    <w:rsid w:val="00584D21"/>
    <w:rsid w:val="005C7651"/>
    <w:rsid w:val="005D686D"/>
    <w:rsid w:val="00611746"/>
    <w:rsid w:val="00622A24"/>
    <w:rsid w:val="00622EA1"/>
    <w:rsid w:val="006643A9"/>
    <w:rsid w:val="00666254"/>
    <w:rsid w:val="006A6E53"/>
    <w:rsid w:val="006B5FF4"/>
    <w:rsid w:val="006D6387"/>
    <w:rsid w:val="006E2785"/>
    <w:rsid w:val="006F4A66"/>
    <w:rsid w:val="00727A1B"/>
    <w:rsid w:val="0074088E"/>
    <w:rsid w:val="00744720"/>
    <w:rsid w:val="00757D31"/>
    <w:rsid w:val="0076765D"/>
    <w:rsid w:val="00773508"/>
    <w:rsid w:val="007748BB"/>
    <w:rsid w:val="00783376"/>
    <w:rsid w:val="007976E7"/>
    <w:rsid w:val="007A0802"/>
    <w:rsid w:val="007C14FD"/>
    <w:rsid w:val="007D26F0"/>
    <w:rsid w:val="007F52AB"/>
    <w:rsid w:val="00800F07"/>
    <w:rsid w:val="00815548"/>
    <w:rsid w:val="00841FE3"/>
    <w:rsid w:val="0086060B"/>
    <w:rsid w:val="00886C50"/>
    <w:rsid w:val="008B71E0"/>
    <w:rsid w:val="00901CB7"/>
    <w:rsid w:val="0091087E"/>
    <w:rsid w:val="009267E4"/>
    <w:rsid w:val="00977060"/>
    <w:rsid w:val="00993896"/>
    <w:rsid w:val="009A2E68"/>
    <w:rsid w:val="009A39BD"/>
    <w:rsid w:val="009A7631"/>
    <w:rsid w:val="009B2DDB"/>
    <w:rsid w:val="009B4D0B"/>
    <w:rsid w:val="009C287D"/>
    <w:rsid w:val="009D733F"/>
    <w:rsid w:val="009D7CEA"/>
    <w:rsid w:val="009E501C"/>
    <w:rsid w:val="009E5D40"/>
    <w:rsid w:val="00A418A9"/>
    <w:rsid w:val="00A60CF7"/>
    <w:rsid w:val="00A63438"/>
    <w:rsid w:val="00A72427"/>
    <w:rsid w:val="00A7635B"/>
    <w:rsid w:val="00A820B1"/>
    <w:rsid w:val="00AA45F8"/>
    <w:rsid w:val="00B07BC5"/>
    <w:rsid w:val="00B4685D"/>
    <w:rsid w:val="00B74486"/>
    <w:rsid w:val="00B80296"/>
    <w:rsid w:val="00B819C1"/>
    <w:rsid w:val="00B82E2C"/>
    <w:rsid w:val="00BA2AAC"/>
    <w:rsid w:val="00BA4C77"/>
    <w:rsid w:val="00BB2555"/>
    <w:rsid w:val="00BD22B4"/>
    <w:rsid w:val="00C017C8"/>
    <w:rsid w:val="00C11291"/>
    <w:rsid w:val="00C13613"/>
    <w:rsid w:val="00C15B44"/>
    <w:rsid w:val="00C2697F"/>
    <w:rsid w:val="00C31E7D"/>
    <w:rsid w:val="00C43D0F"/>
    <w:rsid w:val="00C54CD2"/>
    <w:rsid w:val="00CA06A4"/>
    <w:rsid w:val="00CB16D9"/>
    <w:rsid w:val="00CB364F"/>
    <w:rsid w:val="00CB77BE"/>
    <w:rsid w:val="00CC248B"/>
    <w:rsid w:val="00CE423D"/>
    <w:rsid w:val="00CF73BF"/>
    <w:rsid w:val="00D02BFB"/>
    <w:rsid w:val="00D0673C"/>
    <w:rsid w:val="00D27B1C"/>
    <w:rsid w:val="00D418F2"/>
    <w:rsid w:val="00D50E00"/>
    <w:rsid w:val="00D9399E"/>
    <w:rsid w:val="00DA21CB"/>
    <w:rsid w:val="00DA511E"/>
    <w:rsid w:val="00DD0B12"/>
    <w:rsid w:val="00DD5FA5"/>
    <w:rsid w:val="00DE7678"/>
    <w:rsid w:val="00E00F63"/>
    <w:rsid w:val="00E305D8"/>
    <w:rsid w:val="00E5139C"/>
    <w:rsid w:val="00E60D23"/>
    <w:rsid w:val="00E64A76"/>
    <w:rsid w:val="00E81737"/>
    <w:rsid w:val="00EB30C0"/>
    <w:rsid w:val="00EB5AEF"/>
    <w:rsid w:val="00EC4959"/>
    <w:rsid w:val="00EF7AA9"/>
    <w:rsid w:val="00F11BCD"/>
    <w:rsid w:val="00F21854"/>
    <w:rsid w:val="00F37285"/>
    <w:rsid w:val="00F630F8"/>
    <w:rsid w:val="00F90D60"/>
    <w:rsid w:val="00F915F6"/>
    <w:rsid w:val="00FE6F8B"/>
    <w:rsid w:val="06614F59"/>
    <w:rsid w:val="088F02F4"/>
    <w:rsid w:val="096909CA"/>
    <w:rsid w:val="0FD824D4"/>
    <w:rsid w:val="1502449F"/>
    <w:rsid w:val="1BE24F79"/>
    <w:rsid w:val="1CDC0AFB"/>
    <w:rsid w:val="1DBF38FB"/>
    <w:rsid w:val="1F751511"/>
    <w:rsid w:val="1FD3E6DF"/>
    <w:rsid w:val="1FFCD2F0"/>
    <w:rsid w:val="24A65802"/>
    <w:rsid w:val="2A620DEC"/>
    <w:rsid w:val="3FEC7098"/>
    <w:rsid w:val="3FFFA98E"/>
    <w:rsid w:val="424629D9"/>
    <w:rsid w:val="441026D4"/>
    <w:rsid w:val="4BE04B40"/>
    <w:rsid w:val="560A3BBE"/>
    <w:rsid w:val="5ED664F1"/>
    <w:rsid w:val="677FF66E"/>
    <w:rsid w:val="67BA52E0"/>
    <w:rsid w:val="6BBB1F34"/>
    <w:rsid w:val="70FF5440"/>
    <w:rsid w:val="718F5B49"/>
    <w:rsid w:val="71B34776"/>
    <w:rsid w:val="7E6EF862"/>
    <w:rsid w:val="BA7179FA"/>
    <w:rsid w:val="BFFF5E1B"/>
    <w:rsid w:val="EFAFF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customStyle="1" w:styleId="6">
    <w:name w:val="p17"/>
    <w:basedOn w:val="1"/>
    <w:qFormat/>
    <w:uiPriority w:val="99"/>
    <w:pPr>
      <w:widowControl/>
      <w:spacing w:before="100" w:after="10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p0 Char"/>
    <w:basedOn w:val="5"/>
    <w:link w:val="8"/>
    <w:qFormat/>
    <w:locked/>
    <w:uiPriority w:val="99"/>
    <w:rPr>
      <w:sz w:val="21"/>
      <w:szCs w:val="21"/>
    </w:rPr>
  </w:style>
  <w:style w:type="paragraph" w:customStyle="1" w:styleId="8">
    <w:name w:val="p0"/>
    <w:basedOn w:val="1"/>
    <w:link w:val="7"/>
    <w:qFormat/>
    <w:uiPriority w:val="99"/>
    <w:pPr>
      <w:widowControl/>
    </w:pPr>
    <w:rPr>
      <w:kern w:val="0"/>
    </w:rPr>
  </w:style>
  <w:style w:type="paragraph" w:customStyle="1" w:styleId="9">
    <w:name w:val="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 w:eastAsia="仿宋_GB2312" w:cs="Verdana"/>
      <w:kern w:val="0"/>
      <w:sz w:val="24"/>
      <w:szCs w:val="24"/>
      <w:lang w:eastAsia="en-US"/>
    </w:rPr>
  </w:style>
  <w:style w:type="character" w:customStyle="1" w:styleId="10">
    <w:name w:val="Date Char"/>
    <w:basedOn w:val="5"/>
    <w:link w:val="2"/>
    <w:semiHidden/>
    <w:qFormat/>
    <w:locked/>
    <w:uiPriority w:val="99"/>
    <w:rPr>
      <w:sz w:val="21"/>
      <w:szCs w:val="21"/>
    </w:rPr>
  </w:style>
  <w:style w:type="character" w:customStyle="1" w:styleId="11">
    <w:name w:val="Balloon Text Char"/>
    <w:basedOn w:val="5"/>
    <w:link w:val="3"/>
    <w:semiHidden/>
    <w:qFormat/>
    <w:locked/>
    <w:uiPriority w:val="99"/>
    <w:rPr>
      <w:sz w:val="2"/>
      <w:szCs w:val="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932</Words>
  <Characters>980</Characters>
  <Lines>0</Lines>
  <Paragraphs>0</Paragraphs>
  <TotalTime>0</TotalTime>
  <ScaleCrop>false</ScaleCrop>
  <LinksUpToDate>false</LinksUpToDate>
  <CharactersWithSpaces>1024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2014-11-01T20:08:00Z</dcterms:created>
  <dc:creator>Administrator</dc:creator>
  <cp:lastModifiedBy>user</cp:lastModifiedBy>
  <cp:lastPrinted>2025-05-30T10:07:00Z</cp:lastPrinted>
  <dcterms:modified xsi:type="dcterms:W3CDTF">2026-06-09T14:10:47Z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462322E5BA61D4E367AE276A3D11321F_43</vt:lpwstr>
  </property>
</Properties>
</file>