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4C76B">
      <w:pPr>
        <w:spacing w:line="296" w:lineRule="auto"/>
        <w:rPr>
          <w:rFonts w:ascii="Arial"/>
          <w:sz w:val="21"/>
        </w:rPr>
      </w:pPr>
    </w:p>
    <w:p w14:paraId="635CEE33">
      <w:pPr>
        <w:pStyle w:val="2"/>
        <w:spacing w:before="91" w:line="220" w:lineRule="auto"/>
        <w:jc w:val="center"/>
        <w:outlineLvl w:val="0"/>
        <w:rPr>
          <w:sz w:val="28"/>
          <w:szCs w:val="28"/>
        </w:rPr>
      </w:pPr>
      <w:r>
        <w:rPr>
          <w:b/>
          <w:bCs/>
          <w:spacing w:val="-3"/>
          <w:sz w:val="28"/>
          <w:szCs w:val="28"/>
        </w:rPr>
        <w:t>青岛市</w:t>
      </w:r>
      <w:r>
        <w:rPr>
          <w:rFonts w:hint="eastAsia"/>
          <w:b/>
          <w:bCs/>
          <w:spacing w:val="-3"/>
          <w:sz w:val="28"/>
          <w:szCs w:val="28"/>
          <w:lang w:eastAsia="zh-CN"/>
        </w:rPr>
        <w:t>多用途锅产</w:t>
      </w:r>
      <w:r>
        <w:rPr>
          <w:b/>
          <w:bCs/>
          <w:spacing w:val="-3"/>
          <w:sz w:val="28"/>
          <w:szCs w:val="28"/>
        </w:rPr>
        <w:t>品质量快速筛查实施细则</w:t>
      </w:r>
    </w:p>
    <w:p w14:paraId="2BDB8268">
      <w:pPr>
        <w:pStyle w:val="2"/>
        <w:spacing w:before="279" w:line="220" w:lineRule="auto"/>
        <w:jc w:val="center"/>
        <w:outlineLvl w:val="0"/>
        <w:rPr>
          <w:sz w:val="28"/>
          <w:szCs w:val="28"/>
        </w:rPr>
      </w:pPr>
      <w:r>
        <w:rPr>
          <w:b/>
          <w:bCs/>
          <w:spacing w:val="-7"/>
          <w:sz w:val="28"/>
          <w:szCs w:val="28"/>
        </w:rPr>
        <w:t>（2026</w:t>
      </w:r>
      <w:r>
        <w:rPr>
          <w:spacing w:val="-58"/>
          <w:sz w:val="28"/>
          <w:szCs w:val="28"/>
        </w:rPr>
        <w:t xml:space="preserve"> </w:t>
      </w:r>
      <w:r>
        <w:rPr>
          <w:b/>
          <w:bCs/>
          <w:spacing w:val="-7"/>
          <w:sz w:val="28"/>
          <w:szCs w:val="28"/>
        </w:rPr>
        <w:t>年）</w:t>
      </w:r>
    </w:p>
    <w:p w14:paraId="3D90464A">
      <w:pPr>
        <w:spacing w:line="289" w:lineRule="auto"/>
        <w:rPr>
          <w:rFonts w:ascii="Arial"/>
          <w:sz w:val="21"/>
        </w:rPr>
      </w:pPr>
    </w:p>
    <w:p w14:paraId="2E46981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textAlignment w:val="baseline"/>
        <w:outlineLvl w:val="1"/>
      </w:pPr>
      <w:r>
        <w:rPr>
          <w:b/>
          <w:bCs/>
          <w:spacing w:val="-11"/>
        </w:rPr>
        <w:t>1</w:t>
      </w:r>
      <w:r>
        <w:rPr>
          <w:spacing w:val="7"/>
        </w:rPr>
        <w:t xml:space="preserve"> </w:t>
      </w:r>
      <w:r>
        <w:rPr>
          <w:b/>
          <w:bCs/>
          <w:spacing w:val="-11"/>
        </w:rPr>
        <w:t>抽样</w:t>
      </w:r>
    </w:p>
    <w:p w14:paraId="1D31BA8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textAlignment w:val="baseline"/>
      </w:pPr>
      <w:r>
        <w:rPr>
          <w:spacing w:val="-5"/>
        </w:rPr>
        <w:t>1.1</w:t>
      </w:r>
      <w:r>
        <w:rPr>
          <w:spacing w:val="-41"/>
        </w:rPr>
        <w:t xml:space="preserve"> </w:t>
      </w:r>
      <w:r>
        <w:rPr>
          <w:spacing w:val="-5"/>
        </w:rPr>
        <w:t>抽样方法</w:t>
      </w:r>
    </w:p>
    <w:p w14:paraId="4CFA78E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29" w:right="2656" w:firstLine="12"/>
        <w:textAlignment w:val="baseline"/>
      </w:pPr>
      <w:r>
        <w:rPr>
          <w:spacing w:val="-2"/>
        </w:rPr>
        <w:t>以随机抽样的方式在被抽样生产者、销售者的待销产品</w:t>
      </w:r>
      <w:r>
        <w:rPr>
          <w:spacing w:val="-3"/>
        </w:rPr>
        <w:t>中抽取。</w:t>
      </w:r>
      <w:r>
        <w:rPr>
          <w:spacing w:val="-2"/>
        </w:rPr>
        <w:t>随机数一般可使用随机数表等方法产生。</w:t>
      </w:r>
    </w:p>
    <w:p w14:paraId="21A0BE4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textAlignment w:val="baseline"/>
      </w:pPr>
      <w:r>
        <w:rPr>
          <w:spacing w:val="-5"/>
        </w:rPr>
        <w:t>1.2</w:t>
      </w:r>
      <w:r>
        <w:rPr>
          <w:spacing w:val="-41"/>
        </w:rPr>
        <w:t xml:space="preserve"> </w:t>
      </w:r>
      <w:r>
        <w:rPr>
          <w:spacing w:val="-5"/>
        </w:rPr>
        <w:t>抽样基数</w:t>
      </w:r>
    </w:p>
    <w:p w14:paraId="46DAD2C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16"/>
        <w:textAlignment w:val="baseline"/>
      </w:pPr>
      <w:r>
        <w:rPr>
          <w:spacing w:val="-1"/>
        </w:rPr>
        <w:t>抽查样品基数满足抽样数量即可。</w:t>
      </w:r>
    </w:p>
    <w:p w14:paraId="30F8436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textAlignment w:val="baseline"/>
      </w:pPr>
      <w:r>
        <w:rPr>
          <w:spacing w:val="-5"/>
        </w:rPr>
        <w:t>1.</w:t>
      </w:r>
      <w:r>
        <w:rPr>
          <w:rFonts w:hint="eastAsia"/>
          <w:spacing w:val="-5"/>
          <w:lang w:val="en-US" w:eastAsia="zh-CN"/>
        </w:rPr>
        <w:t>3</w:t>
      </w:r>
      <w:r>
        <w:rPr>
          <w:spacing w:val="-41"/>
        </w:rPr>
        <w:t xml:space="preserve"> </w:t>
      </w:r>
      <w:r>
        <w:rPr>
          <w:spacing w:val="-5"/>
        </w:rPr>
        <w:t>抽样数量</w:t>
      </w:r>
    </w:p>
    <w:p w14:paraId="3E6AE93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17"/>
        <w:textAlignment w:val="baseline"/>
      </w:pPr>
      <w:r>
        <w:rPr>
          <w:spacing w:val="-3"/>
        </w:rPr>
        <w:t>每批次产品抽取样品</w:t>
      </w:r>
      <w:r>
        <w:rPr>
          <w:rFonts w:hint="eastAsia"/>
          <w:spacing w:val="-42"/>
          <w:lang w:val="en-US" w:eastAsia="zh-CN"/>
        </w:rPr>
        <w:t>1台</w:t>
      </w:r>
      <w:r>
        <w:rPr>
          <w:spacing w:val="-3"/>
        </w:rPr>
        <w:t>作为检验样品。</w:t>
      </w:r>
    </w:p>
    <w:p w14:paraId="78E6E6EE">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1"/>
      </w:pPr>
      <w:r>
        <w:rPr>
          <w:b/>
          <w:bCs/>
          <w:spacing w:val="-5"/>
        </w:rPr>
        <w:t>2</w:t>
      </w:r>
      <w:r>
        <w:rPr>
          <w:spacing w:val="9"/>
        </w:rPr>
        <w:t xml:space="preserve"> </w:t>
      </w:r>
      <w:r>
        <w:rPr>
          <w:b/>
          <w:bCs/>
          <w:spacing w:val="-5"/>
        </w:rPr>
        <w:t>检验依据</w:t>
      </w:r>
    </w:p>
    <w:p w14:paraId="1857ADC8">
      <w:pPr>
        <w:pStyle w:val="2"/>
        <w:spacing w:before="68" w:line="221" w:lineRule="auto"/>
        <w:ind w:left="2893"/>
        <w:outlineLvl w:val="0"/>
      </w:pPr>
      <w:r>
        <w:rPr>
          <w:b/>
          <w:bCs/>
          <w:spacing w:val="-5"/>
        </w:rPr>
        <w:t>表</w:t>
      </w:r>
      <w:r>
        <w:rPr>
          <w:spacing w:val="-14"/>
        </w:rPr>
        <w:t xml:space="preserve"> </w:t>
      </w:r>
      <w:r>
        <w:rPr>
          <w:b/>
          <w:bCs/>
          <w:spacing w:val="-5"/>
        </w:rPr>
        <w:t>1-1</w:t>
      </w:r>
      <w:r>
        <w:rPr>
          <w:spacing w:val="-40"/>
        </w:rPr>
        <w:t xml:space="preserve"> </w:t>
      </w:r>
      <w:r>
        <w:rPr>
          <w:rFonts w:hint="eastAsia" w:cs="宋体"/>
          <w:b/>
          <w:bCs/>
          <w:spacing w:val="-5"/>
          <w:lang w:eastAsia="zh-CN"/>
        </w:rPr>
        <w:t>多用途锅</w:t>
      </w:r>
      <w:r>
        <w:rPr>
          <w:b/>
          <w:bCs/>
          <w:spacing w:val="-5"/>
        </w:rPr>
        <w:t>产品检验项目</w:t>
      </w:r>
    </w:p>
    <w:p w14:paraId="10E7C1D2">
      <w:pPr>
        <w:spacing w:before="6"/>
      </w:pPr>
    </w:p>
    <w:tbl>
      <w:tblPr>
        <w:tblStyle w:val="6"/>
        <w:tblW w:w="0" w:type="auto"/>
        <w:tblInd w:w="1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0"/>
        <w:gridCol w:w="2204"/>
        <w:gridCol w:w="5735"/>
      </w:tblGrid>
      <w:tr w14:paraId="025C5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1D9A72F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bCs/>
                <w:sz w:val="21"/>
                <w:szCs w:val="21"/>
              </w:rPr>
            </w:pPr>
            <w:r>
              <w:rPr>
                <w:rFonts w:ascii="宋体" w:hAnsi="宋体" w:eastAsia="宋体" w:cs="宋体"/>
                <w:b/>
                <w:bCs/>
                <w:spacing w:val="-4"/>
                <w:sz w:val="21"/>
                <w:szCs w:val="21"/>
              </w:rPr>
              <w:t>序号</w:t>
            </w:r>
          </w:p>
        </w:tc>
        <w:tc>
          <w:tcPr>
            <w:tcW w:w="2204" w:type="dxa"/>
            <w:vAlign w:val="center"/>
          </w:tcPr>
          <w:p w14:paraId="35F5ED6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bCs/>
                <w:sz w:val="21"/>
                <w:szCs w:val="21"/>
              </w:rPr>
            </w:pPr>
            <w:r>
              <w:rPr>
                <w:rFonts w:ascii="宋体" w:hAnsi="宋体" w:eastAsia="宋体" w:cs="宋体"/>
                <w:b/>
                <w:bCs/>
                <w:spacing w:val="-3"/>
                <w:sz w:val="21"/>
                <w:szCs w:val="21"/>
              </w:rPr>
              <w:t>检验项目</w:t>
            </w:r>
          </w:p>
        </w:tc>
        <w:tc>
          <w:tcPr>
            <w:tcW w:w="5735" w:type="dxa"/>
            <w:vAlign w:val="center"/>
          </w:tcPr>
          <w:p w14:paraId="2B4DF4C0">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center"/>
              <w:textAlignment w:val="baseline"/>
              <w:rPr>
                <w:rFonts w:ascii="宋体" w:hAnsi="宋体" w:eastAsia="宋体" w:cs="宋体"/>
                <w:b/>
                <w:bCs/>
                <w:sz w:val="21"/>
                <w:szCs w:val="21"/>
              </w:rPr>
            </w:pPr>
            <w:r>
              <w:rPr>
                <w:rFonts w:ascii="宋体" w:hAnsi="宋体" w:eastAsia="宋体" w:cs="宋体"/>
                <w:b/>
                <w:bCs/>
                <w:spacing w:val="-3"/>
                <w:sz w:val="21"/>
                <w:szCs w:val="21"/>
              </w:rPr>
              <w:t>检验方法</w:t>
            </w:r>
          </w:p>
        </w:tc>
      </w:tr>
      <w:tr w14:paraId="66A11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0FEF5E8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z w:val="21"/>
                <w:szCs w:val="21"/>
                <w:highlight w:val="none"/>
              </w:rPr>
            </w:pPr>
            <w:r>
              <w:rPr>
                <w:rFonts w:hint="eastAsia"/>
                <w:b w:val="0"/>
                <w:bCs w:val="0"/>
                <w:highlight w:val="none"/>
                <w:lang w:val="en-US" w:eastAsia="zh-CN"/>
              </w:rPr>
              <w:t>1</w:t>
            </w:r>
          </w:p>
        </w:tc>
        <w:tc>
          <w:tcPr>
            <w:tcW w:w="2204" w:type="dxa"/>
            <w:vAlign w:val="center"/>
          </w:tcPr>
          <w:p w14:paraId="7704064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z w:val="21"/>
                <w:szCs w:val="21"/>
                <w:highlight w:val="none"/>
              </w:rPr>
            </w:pPr>
            <w:r>
              <w:rPr>
                <w:rFonts w:hint="eastAsia"/>
                <w:b w:val="0"/>
                <w:bCs w:val="0"/>
                <w:highlight w:val="none"/>
              </w:rPr>
              <w:t>标志和说明</w:t>
            </w:r>
          </w:p>
        </w:tc>
        <w:tc>
          <w:tcPr>
            <w:tcW w:w="5735" w:type="dxa"/>
            <w:vAlign w:val="center"/>
          </w:tcPr>
          <w:p w14:paraId="24BC6E21">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ascii="宋体" w:hAnsi="宋体" w:eastAsia="宋体" w:cs="宋体"/>
                <w:b w:val="0"/>
                <w:bCs w:val="0"/>
                <w:sz w:val="21"/>
                <w:szCs w:val="21"/>
                <w:highlight w:val="none"/>
              </w:rPr>
            </w:pPr>
            <w:r>
              <w:rPr>
                <w:rFonts w:ascii="宋体" w:hAnsi="宋体" w:eastAsia="宋体" w:cs="宋体"/>
                <w:b w:val="0"/>
                <w:bCs w:val="0"/>
                <w:spacing w:val="-12"/>
                <w:sz w:val="21"/>
                <w:szCs w:val="21"/>
                <w:highlight w:val="none"/>
              </w:rPr>
              <w:t>目测检查</w:t>
            </w:r>
          </w:p>
        </w:tc>
      </w:tr>
      <w:tr w14:paraId="354F4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354DC37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z w:val="21"/>
                <w:szCs w:val="21"/>
              </w:rPr>
            </w:pPr>
            <w:r>
              <w:rPr>
                <w:rFonts w:hint="eastAsia"/>
                <w:b w:val="0"/>
                <w:bCs w:val="0"/>
                <w:lang w:val="en-US" w:eastAsia="zh-CN"/>
              </w:rPr>
              <w:t>2</w:t>
            </w:r>
          </w:p>
        </w:tc>
        <w:tc>
          <w:tcPr>
            <w:tcW w:w="2204" w:type="dxa"/>
            <w:vAlign w:val="center"/>
          </w:tcPr>
          <w:p w14:paraId="42AB68C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pacing w:val="-2"/>
                <w:sz w:val="21"/>
                <w:szCs w:val="21"/>
              </w:rPr>
            </w:pPr>
            <w:r>
              <w:rPr>
                <w:rFonts w:hint="eastAsia"/>
                <w:b w:val="0"/>
                <w:bCs w:val="0"/>
              </w:rPr>
              <w:t>对触及带电部件的防护</w:t>
            </w:r>
          </w:p>
        </w:tc>
        <w:tc>
          <w:tcPr>
            <w:tcW w:w="5735" w:type="dxa"/>
            <w:vAlign w:val="center"/>
          </w:tcPr>
          <w:p w14:paraId="2C983E09">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hint="eastAsia" w:ascii="宋体" w:hAnsi="宋体" w:eastAsia="宋体" w:cs="宋体"/>
                <w:b w:val="0"/>
                <w:bCs w:val="0"/>
                <w:spacing w:val="-6"/>
                <w:sz w:val="21"/>
                <w:szCs w:val="21"/>
                <w:lang w:val="en-US" w:eastAsia="zh-CN"/>
              </w:rPr>
            </w:pPr>
            <w:r>
              <w:rPr>
                <w:rFonts w:hint="eastAsia" w:ascii="宋体" w:hAnsi="宋体" w:eastAsia="宋体" w:cs="宋体"/>
                <w:b w:val="0"/>
                <w:bCs w:val="0"/>
                <w:spacing w:val="-6"/>
                <w:sz w:val="21"/>
                <w:szCs w:val="21"/>
                <w:lang w:val="en-US" w:eastAsia="zh-CN"/>
              </w:rPr>
              <w:t>（1）用试具B插入到器具的开口，并在插入前、中、后的任意位置进行转动或弯曲。试具应不可能碰到带电部件。</w:t>
            </w:r>
          </w:p>
          <w:p w14:paraId="0CE19EC1">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hint="eastAsia" w:ascii="宋体" w:hAnsi="宋体" w:eastAsia="宋体" w:cs="宋体"/>
                <w:b w:val="0"/>
                <w:bCs w:val="0"/>
                <w:spacing w:val="-6"/>
                <w:sz w:val="21"/>
                <w:szCs w:val="21"/>
                <w:lang w:val="en-US" w:eastAsia="zh-CN"/>
              </w:rPr>
            </w:pPr>
            <w:r>
              <w:rPr>
                <w:rFonts w:hint="eastAsia" w:ascii="宋体" w:hAnsi="宋体" w:eastAsia="宋体" w:cs="宋体"/>
                <w:b w:val="0"/>
                <w:bCs w:val="0"/>
                <w:spacing w:val="-6"/>
                <w:sz w:val="21"/>
                <w:szCs w:val="21"/>
                <w:lang w:val="en-US" w:eastAsia="zh-CN"/>
              </w:rPr>
              <w:t>（2）用试具13插入到Ⅱ类器具或Ⅱ类结构上的各开口。试具应不可能碰到带电部件。</w:t>
            </w:r>
          </w:p>
          <w:p w14:paraId="1562D015">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ascii="宋体" w:hAnsi="宋体" w:eastAsia="宋体" w:cs="宋体"/>
                <w:b w:val="0"/>
                <w:bCs w:val="0"/>
                <w:spacing w:val="-6"/>
                <w:sz w:val="21"/>
                <w:szCs w:val="21"/>
              </w:rPr>
            </w:pPr>
            <w:r>
              <w:rPr>
                <w:rFonts w:hint="eastAsia" w:ascii="宋体" w:hAnsi="宋体" w:eastAsia="宋体" w:cs="宋体"/>
                <w:b w:val="0"/>
                <w:bCs w:val="0"/>
                <w:spacing w:val="-6"/>
                <w:sz w:val="21"/>
                <w:szCs w:val="21"/>
                <w:lang w:val="en-US" w:eastAsia="zh-CN"/>
              </w:rPr>
              <w:t>（3）用试具B插入到Ⅱ类器具或Ⅱ类结构上的各开口。试具应不可能碰到基本绝缘或仅用基本绝缘与带电部件隔开的金属部件。</w:t>
            </w:r>
          </w:p>
        </w:tc>
      </w:tr>
      <w:tr w14:paraId="21A3E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12DC89D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ascii="宋体" w:hAnsi="宋体" w:eastAsia="宋体" w:cs="宋体"/>
                <w:b w:val="0"/>
                <w:bCs w:val="0"/>
                <w:sz w:val="21"/>
                <w:szCs w:val="21"/>
              </w:rPr>
            </w:pPr>
            <w:r>
              <w:rPr>
                <w:rFonts w:hint="eastAsia"/>
                <w:b w:val="0"/>
                <w:bCs w:val="0"/>
                <w:highlight w:val="none"/>
                <w:lang w:val="en-US" w:eastAsia="zh-CN"/>
              </w:rPr>
              <w:t>3</w:t>
            </w:r>
          </w:p>
        </w:tc>
        <w:tc>
          <w:tcPr>
            <w:tcW w:w="2204" w:type="dxa"/>
            <w:vAlign w:val="center"/>
          </w:tcPr>
          <w:p w14:paraId="18EA969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pacing w:val="-2"/>
                <w:sz w:val="21"/>
                <w:szCs w:val="21"/>
              </w:rPr>
            </w:pPr>
            <w:r>
              <w:rPr>
                <w:rFonts w:hint="eastAsia"/>
                <w:b w:val="0"/>
                <w:bCs w:val="0"/>
              </w:rPr>
              <w:t>稳定性</w:t>
            </w:r>
          </w:p>
        </w:tc>
        <w:tc>
          <w:tcPr>
            <w:tcW w:w="5735" w:type="dxa"/>
            <w:vAlign w:val="center"/>
          </w:tcPr>
          <w:p w14:paraId="4AC28C27">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ascii="宋体" w:hAnsi="宋体" w:eastAsia="宋体" w:cs="宋体"/>
                <w:b w:val="0"/>
                <w:bCs w:val="0"/>
                <w:spacing w:val="-6"/>
                <w:sz w:val="21"/>
                <w:szCs w:val="21"/>
              </w:rPr>
            </w:pPr>
            <w:r>
              <w:rPr>
                <w:rFonts w:hint="eastAsia" w:ascii="宋体" w:hAnsi="宋体" w:eastAsia="宋体" w:cs="宋体"/>
                <w:b w:val="0"/>
                <w:bCs w:val="0"/>
                <w:spacing w:val="-6"/>
                <w:sz w:val="21"/>
                <w:szCs w:val="21"/>
                <w:lang w:val="en-US" w:eastAsia="zh-CN"/>
              </w:rPr>
              <w:t>器具放置于与水平面成10°的倾斜平面上，电源软线以最不利的位置摆放在倾斜平面上，器具不应翻倒。</w:t>
            </w:r>
          </w:p>
        </w:tc>
      </w:tr>
      <w:tr w14:paraId="492D43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45539D1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ascii="宋体" w:hAnsi="宋体" w:eastAsia="宋体" w:cs="宋体"/>
                <w:b w:val="0"/>
                <w:bCs w:val="0"/>
                <w:sz w:val="21"/>
                <w:szCs w:val="21"/>
                <w:highlight w:val="none"/>
              </w:rPr>
            </w:pPr>
            <w:r>
              <w:rPr>
                <w:rFonts w:hint="eastAsia"/>
                <w:b w:val="0"/>
                <w:bCs w:val="0"/>
                <w:lang w:val="en-US" w:eastAsia="zh-CN"/>
              </w:rPr>
              <w:t>4</w:t>
            </w:r>
          </w:p>
        </w:tc>
        <w:tc>
          <w:tcPr>
            <w:tcW w:w="2204" w:type="dxa"/>
            <w:vAlign w:val="center"/>
          </w:tcPr>
          <w:p w14:paraId="77AC6A9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pacing w:val="-2"/>
                <w:sz w:val="21"/>
                <w:szCs w:val="21"/>
                <w:highlight w:val="none"/>
              </w:rPr>
            </w:pPr>
            <w:r>
              <w:rPr>
                <w:b w:val="0"/>
                <w:bCs w:val="0"/>
                <w:spacing w:val="-12"/>
                <w:highlight w:val="none"/>
              </w:rPr>
              <w:t>机械</w:t>
            </w:r>
            <w:r>
              <w:rPr>
                <w:rFonts w:hint="eastAsia"/>
                <w:b w:val="0"/>
                <w:bCs w:val="0"/>
                <w:spacing w:val="-12"/>
                <w:highlight w:val="none"/>
                <w:lang w:eastAsia="zh-CN"/>
              </w:rPr>
              <w:t>强度</w:t>
            </w:r>
          </w:p>
        </w:tc>
        <w:tc>
          <w:tcPr>
            <w:tcW w:w="5735" w:type="dxa"/>
            <w:vAlign w:val="center"/>
          </w:tcPr>
          <w:p w14:paraId="393B4112">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ascii="宋体" w:hAnsi="宋体" w:eastAsia="宋体" w:cs="宋体"/>
                <w:b w:val="0"/>
                <w:bCs w:val="0"/>
                <w:spacing w:val="-6"/>
                <w:sz w:val="21"/>
                <w:szCs w:val="21"/>
                <w:highlight w:val="none"/>
              </w:rPr>
            </w:pPr>
            <w:r>
              <w:rPr>
                <w:rFonts w:hint="eastAsia" w:ascii="宋体" w:hAnsi="宋体" w:eastAsia="宋体" w:cs="宋体"/>
                <w:b w:val="0"/>
                <w:bCs w:val="0"/>
                <w:spacing w:val="-6"/>
                <w:sz w:val="21"/>
                <w:szCs w:val="21"/>
                <w:highlight w:val="none"/>
                <w:lang w:val="en-US" w:eastAsia="zh-CN"/>
              </w:rPr>
              <w:t>器具</w:t>
            </w:r>
            <w:r>
              <w:rPr>
                <w:rFonts w:hint="default" w:ascii="宋体" w:hAnsi="宋体" w:eastAsia="宋体" w:cs="宋体"/>
                <w:b w:val="0"/>
                <w:bCs w:val="0"/>
                <w:spacing w:val="-6"/>
                <w:sz w:val="21"/>
                <w:szCs w:val="21"/>
                <w:highlight w:val="none"/>
                <w:lang w:val="en-US" w:eastAsia="zh-CN"/>
              </w:rPr>
              <w:t>采用刚性支撑，在器具外壳的每一个可能薄弱点上用0.5J的冲击能量冲击3次</w:t>
            </w:r>
            <w:r>
              <w:rPr>
                <w:rFonts w:hint="eastAsia" w:ascii="宋体" w:hAnsi="宋体" w:eastAsia="宋体" w:cs="宋体"/>
                <w:b w:val="0"/>
                <w:bCs w:val="0"/>
                <w:spacing w:val="-6"/>
                <w:sz w:val="21"/>
                <w:szCs w:val="21"/>
                <w:highlight w:val="none"/>
                <w:lang w:val="en-US" w:eastAsia="zh-CN"/>
              </w:rPr>
              <w:t>。试验后，器具应无损坏。</w:t>
            </w:r>
          </w:p>
        </w:tc>
      </w:tr>
      <w:tr w14:paraId="10473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5CBE81A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ascii="宋体" w:hAnsi="宋体" w:eastAsia="宋体" w:cs="宋体"/>
                <w:b w:val="0"/>
                <w:bCs w:val="0"/>
                <w:sz w:val="21"/>
                <w:szCs w:val="21"/>
              </w:rPr>
            </w:pPr>
            <w:r>
              <w:rPr>
                <w:rFonts w:hint="eastAsia"/>
                <w:b w:val="0"/>
                <w:bCs w:val="0"/>
                <w:highlight w:val="none"/>
                <w:lang w:val="en-US" w:eastAsia="zh-CN"/>
              </w:rPr>
              <w:t>5</w:t>
            </w:r>
          </w:p>
        </w:tc>
        <w:tc>
          <w:tcPr>
            <w:tcW w:w="2204" w:type="dxa"/>
            <w:vAlign w:val="center"/>
          </w:tcPr>
          <w:p w14:paraId="536B6D4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pacing w:val="-2"/>
                <w:sz w:val="21"/>
                <w:szCs w:val="21"/>
              </w:rPr>
            </w:pPr>
            <w:r>
              <w:rPr>
                <w:rFonts w:hint="eastAsia"/>
                <w:b w:val="0"/>
                <w:bCs w:val="0"/>
              </w:rPr>
              <w:t>锐利棱边</w:t>
            </w:r>
          </w:p>
        </w:tc>
        <w:tc>
          <w:tcPr>
            <w:tcW w:w="5735" w:type="dxa"/>
            <w:vAlign w:val="center"/>
          </w:tcPr>
          <w:p w14:paraId="20FACB8B">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ascii="宋体" w:hAnsi="宋体" w:eastAsia="宋体" w:cs="宋体"/>
                <w:b w:val="0"/>
                <w:bCs w:val="0"/>
                <w:spacing w:val="-6"/>
                <w:sz w:val="21"/>
                <w:szCs w:val="21"/>
              </w:rPr>
            </w:pPr>
            <w:r>
              <w:rPr>
                <w:rFonts w:ascii="宋体" w:hAnsi="宋体" w:eastAsia="宋体" w:cs="宋体"/>
                <w:b w:val="0"/>
                <w:bCs w:val="0"/>
                <w:spacing w:val="-12"/>
                <w:sz w:val="21"/>
                <w:szCs w:val="21"/>
              </w:rPr>
              <w:t>目测检查</w:t>
            </w:r>
          </w:p>
        </w:tc>
      </w:tr>
      <w:tr w14:paraId="1F9EF7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12F86F6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ascii="宋体" w:hAnsi="宋体" w:eastAsia="宋体" w:cs="宋体"/>
                <w:b w:val="0"/>
                <w:bCs w:val="0"/>
                <w:sz w:val="21"/>
                <w:szCs w:val="21"/>
                <w:highlight w:val="none"/>
              </w:rPr>
            </w:pPr>
            <w:r>
              <w:rPr>
                <w:rFonts w:hint="eastAsia"/>
                <w:b w:val="0"/>
                <w:bCs w:val="0"/>
                <w:lang w:val="en-US" w:eastAsia="zh-CN"/>
              </w:rPr>
              <w:t>6</w:t>
            </w:r>
          </w:p>
        </w:tc>
        <w:tc>
          <w:tcPr>
            <w:tcW w:w="2204" w:type="dxa"/>
            <w:vAlign w:val="center"/>
          </w:tcPr>
          <w:p w14:paraId="27457C8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pacing w:val="-2"/>
                <w:sz w:val="21"/>
                <w:szCs w:val="21"/>
                <w:highlight w:val="none"/>
              </w:rPr>
            </w:pPr>
            <w:r>
              <w:rPr>
                <w:rFonts w:hint="eastAsia"/>
                <w:b w:val="0"/>
                <w:bCs w:val="0"/>
                <w:spacing w:val="-12"/>
                <w:highlight w:val="none"/>
                <w:lang w:eastAsia="zh-CN"/>
              </w:rPr>
              <w:t>内部布线</w:t>
            </w:r>
          </w:p>
        </w:tc>
        <w:tc>
          <w:tcPr>
            <w:tcW w:w="5735" w:type="dxa"/>
            <w:vAlign w:val="center"/>
          </w:tcPr>
          <w:p w14:paraId="42BD26EB">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ascii="宋体" w:hAnsi="宋体" w:eastAsia="宋体" w:cs="宋体"/>
                <w:b w:val="0"/>
                <w:bCs w:val="0"/>
                <w:spacing w:val="-6"/>
                <w:sz w:val="21"/>
                <w:szCs w:val="21"/>
                <w:highlight w:val="none"/>
              </w:rPr>
            </w:pPr>
            <w:r>
              <w:rPr>
                <w:rFonts w:ascii="宋体" w:hAnsi="宋体" w:eastAsia="宋体" w:cs="宋体"/>
                <w:b w:val="0"/>
                <w:bCs w:val="0"/>
                <w:spacing w:val="-12"/>
                <w:sz w:val="21"/>
                <w:szCs w:val="21"/>
                <w:highlight w:val="none"/>
              </w:rPr>
              <w:t>目测检查</w:t>
            </w:r>
          </w:p>
        </w:tc>
      </w:tr>
      <w:tr w14:paraId="744F6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0949D60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ascii="宋体" w:hAnsi="宋体" w:eastAsia="宋体" w:cs="宋体"/>
                <w:b w:val="0"/>
                <w:bCs w:val="0"/>
                <w:sz w:val="21"/>
                <w:szCs w:val="21"/>
              </w:rPr>
            </w:pPr>
            <w:r>
              <w:rPr>
                <w:rFonts w:hint="eastAsia"/>
                <w:b w:val="0"/>
                <w:bCs w:val="0"/>
                <w:highlight w:val="none"/>
                <w:lang w:val="en-US" w:eastAsia="zh-CN"/>
              </w:rPr>
              <w:t>7</w:t>
            </w:r>
          </w:p>
        </w:tc>
        <w:tc>
          <w:tcPr>
            <w:tcW w:w="2204" w:type="dxa"/>
            <w:vAlign w:val="center"/>
          </w:tcPr>
          <w:p w14:paraId="0F8FAA1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pacing w:val="-2"/>
                <w:sz w:val="21"/>
                <w:szCs w:val="21"/>
              </w:rPr>
            </w:pPr>
            <w:r>
              <w:rPr>
                <w:rFonts w:hint="eastAsia"/>
                <w:b w:val="0"/>
                <w:bCs w:val="0"/>
              </w:rPr>
              <w:t>电源线规格</w:t>
            </w:r>
          </w:p>
        </w:tc>
        <w:tc>
          <w:tcPr>
            <w:tcW w:w="5735" w:type="dxa"/>
            <w:vAlign w:val="center"/>
          </w:tcPr>
          <w:p w14:paraId="0A70A4E4">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hint="eastAsia" w:ascii="宋体" w:hAnsi="宋体" w:eastAsia="宋体" w:cs="宋体"/>
                <w:b w:val="0"/>
                <w:bCs w:val="0"/>
                <w:spacing w:val="-6"/>
                <w:sz w:val="21"/>
                <w:szCs w:val="21"/>
                <w:lang w:val="en-US" w:eastAsia="zh-CN"/>
              </w:rPr>
            </w:pPr>
            <w:r>
              <w:rPr>
                <w:rFonts w:hint="eastAsia" w:ascii="宋体" w:hAnsi="宋体" w:eastAsia="宋体" w:cs="宋体"/>
                <w:b w:val="0"/>
                <w:bCs w:val="0"/>
                <w:spacing w:val="-6"/>
                <w:sz w:val="21"/>
                <w:szCs w:val="21"/>
                <w:lang w:val="en-US" w:eastAsia="zh-CN"/>
              </w:rPr>
              <w:t>（1）目测</w:t>
            </w:r>
          </w:p>
          <w:p w14:paraId="58444308">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hint="eastAsia" w:ascii="宋体" w:hAnsi="宋体" w:eastAsia="宋体" w:cs="宋体"/>
                <w:b w:val="0"/>
                <w:bCs w:val="0"/>
                <w:spacing w:val="-6"/>
                <w:sz w:val="21"/>
                <w:szCs w:val="21"/>
                <w:lang w:val="en-US" w:eastAsia="zh-CN"/>
              </w:rPr>
            </w:pPr>
            <w:r>
              <w:rPr>
                <w:rFonts w:hint="eastAsia" w:ascii="宋体" w:hAnsi="宋体" w:eastAsia="宋体" w:cs="宋体"/>
                <w:b w:val="0"/>
                <w:bCs w:val="0"/>
                <w:spacing w:val="-6"/>
                <w:sz w:val="21"/>
                <w:szCs w:val="21"/>
                <w:lang w:val="en-US" w:eastAsia="zh-CN"/>
              </w:rPr>
              <w:t>（2）根据器具铭牌的明示额定功率和明示额定电压，用如下公式计算器具的额定电流：</w:t>
            </w:r>
          </w:p>
          <w:p w14:paraId="470CDDA1">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hint="eastAsia" w:ascii="宋体" w:hAnsi="宋体" w:eastAsia="宋体" w:cs="宋体"/>
                <w:b w:val="0"/>
                <w:bCs w:val="0"/>
                <w:spacing w:val="-6"/>
                <w:sz w:val="21"/>
                <w:szCs w:val="21"/>
                <w:lang w:val="en-US" w:eastAsia="zh-CN"/>
              </w:rPr>
            </w:pPr>
            <w:r>
              <w:rPr>
                <w:rFonts w:hint="eastAsia" w:ascii="宋体" w:hAnsi="宋体" w:eastAsia="宋体" w:cs="宋体"/>
                <w:b w:val="0"/>
                <w:bCs w:val="0"/>
                <w:spacing w:val="-6"/>
                <w:sz w:val="21"/>
                <w:szCs w:val="21"/>
                <w:lang w:val="en-US" w:eastAsia="zh-CN"/>
              </w:rPr>
              <w:t>额定电流=额定功率/额定电压</w:t>
            </w:r>
          </w:p>
          <w:p w14:paraId="0DE49046">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hint="eastAsia" w:ascii="宋体" w:hAnsi="宋体" w:eastAsia="宋体" w:cs="宋体"/>
                <w:b w:val="0"/>
                <w:bCs w:val="0"/>
                <w:spacing w:val="-6"/>
                <w:sz w:val="21"/>
                <w:szCs w:val="21"/>
                <w:lang w:val="en-US" w:eastAsia="zh-CN"/>
              </w:rPr>
            </w:pPr>
            <w:r>
              <w:rPr>
                <w:rFonts w:hint="eastAsia" w:ascii="宋体" w:hAnsi="宋体" w:eastAsia="宋体" w:cs="宋体"/>
                <w:b w:val="0"/>
                <w:bCs w:val="0"/>
                <w:spacing w:val="-6"/>
                <w:sz w:val="21"/>
                <w:szCs w:val="21"/>
                <w:lang w:val="en-US" w:eastAsia="zh-CN"/>
              </w:rPr>
              <w:t>用钢卷尺测量器具电源软线或软线保护装置进入器具的那一点到插头入口之间的长度为导线长度。</w:t>
            </w:r>
          </w:p>
          <w:p w14:paraId="40E73C48">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ascii="宋体" w:hAnsi="宋体" w:eastAsia="宋体" w:cs="宋体"/>
                <w:b w:val="0"/>
                <w:bCs w:val="0"/>
                <w:spacing w:val="-6"/>
                <w:sz w:val="21"/>
                <w:szCs w:val="21"/>
              </w:rPr>
            </w:pPr>
            <w:r>
              <w:rPr>
                <w:rFonts w:hint="eastAsia" w:ascii="宋体" w:hAnsi="宋体" w:eastAsia="宋体" w:cs="宋体"/>
                <w:b w:val="0"/>
                <w:bCs w:val="0"/>
                <w:spacing w:val="-6"/>
                <w:sz w:val="21"/>
                <w:szCs w:val="21"/>
                <w:lang w:val="en-US" w:eastAsia="zh-CN"/>
              </w:rPr>
              <w:t>根据计算的额定电流、测量的导线长度，以及电源线上明示的</w:t>
            </w:r>
            <w:r>
              <w:rPr>
                <w:rFonts w:hint="default" w:ascii="宋体" w:hAnsi="宋体" w:eastAsia="宋体" w:cs="宋体"/>
                <w:b w:val="0"/>
                <w:bCs w:val="0"/>
                <w:spacing w:val="-6"/>
                <w:sz w:val="21"/>
                <w:szCs w:val="21"/>
                <w:lang w:val="en-US" w:eastAsia="zh-CN"/>
              </w:rPr>
              <w:t>标称横截面积</w:t>
            </w:r>
            <w:r>
              <w:rPr>
                <w:rFonts w:hint="eastAsia" w:ascii="宋体" w:hAnsi="宋体" w:eastAsia="宋体" w:cs="宋体"/>
                <w:b w:val="0"/>
                <w:bCs w:val="0"/>
                <w:spacing w:val="-6"/>
                <w:sz w:val="21"/>
                <w:szCs w:val="21"/>
                <w:lang w:val="en-US" w:eastAsia="zh-CN"/>
              </w:rPr>
              <w:t>，综合判断产品电源线规格是否符合要求。</w:t>
            </w:r>
          </w:p>
        </w:tc>
      </w:tr>
      <w:tr w14:paraId="2E90B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3A13620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cs="Times New Roman"/>
                <w:b w:val="0"/>
                <w:bCs w:val="0"/>
                <w:kern w:val="2"/>
                <w:sz w:val="21"/>
                <w:szCs w:val="24"/>
                <w:lang w:val="en-US" w:eastAsia="zh-CN" w:bidi="ar-SA"/>
              </w:rPr>
            </w:pPr>
            <w:r>
              <w:rPr>
                <w:rFonts w:hint="eastAsia" w:cs="Times New Roman"/>
                <w:b w:val="0"/>
                <w:bCs w:val="0"/>
                <w:kern w:val="2"/>
                <w:sz w:val="21"/>
                <w:szCs w:val="24"/>
                <w:lang w:val="en-US" w:eastAsia="zh-CN" w:bidi="ar-SA"/>
              </w:rPr>
              <w:t>8</w:t>
            </w:r>
          </w:p>
        </w:tc>
        <w:tc>
          <w:tcPr>
            <w:tcW w:w="2204" w:type="dxa"/>
            <w:vAlign w:val="center"/>
          </w:tcPr>
          <w:p w14:paraId="5A7926A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b w:val="0"/>
                <w:bCs w:val="0"/>
              </w:rPr>
            </w:pPr>
            <w:r>
              <w:rPr>
                <w:rFonts w:hint="eastAsia"/>
                <w:b w:val="0"/>
                <w:bCs w:val="0"/>
                <w:lang w:eastAsia="zh-CN"/>
              </w:rPr>
              <w:t>接地措施</w:t>
            </w:r>
          </w:p>
        </w:tc>
        <w:tc>
          <w:tcPr>
            <w:tcW w:w="5735" w:type="dxa"/>
            <w:vAlign w:val="center"/>
          </w:tcPr>
          <w:p w14:paraId="04010630">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hint="eastAsia" w:ascii="宋体" w:hAnsi="宋体" w:eastAsia="宋体" w:cs="宋体"/>
                <w:b w:val="0"/>
                <w:bCs w:val="0"/>
                <w:spacing w:val="-6"/>
                <w:sz w:val="21"/>
                <w:szCs w:val="21"/>
                <w:lang w:val="en-US" w:eastAsia="zh-CN"/>
              </w:rPr>
            </w:pPr>
            <w:r>
              <w:rPr>
                <w:rFonts w:ascii="宋体" w:hAnsi="宋体" w:eastAsia="宋体" w:cs="宋体"/>
                <w:b w:val="0"/>
                <w:bCs w:val="0"/>
                <w:spacing w:val="-12"/>
                <w:sz w:val="21"/>
                <w:szCs w:val="21"/>
                <w:highlight w:val="none"/>
              </w:rPr>
              <w:t>目测检查</w:t>
            </w:r>
          </w:p>
        </w:tc>
      </w:tr>
    </w:tbl>
    <w:p w14:paraId="7E272C9E">
      <w:pPr>
        <w:pStyle w:val="2"/>
        <w:spacing w:before="68" w:line="221" w:lineRule="auto"/>
        <w:ind w:left="2893"/>
        <w:outlineLvl w:val="0"/>
        <w:rPr>
          <w:b/>
          <w:bCs/>
          <w:spacing w:val="-5"/>
        </w:rPr>
      </w:pPr>
    </w:p>
    <w:p w14:paraId="2BE72E7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19"/>
        <w:textAlignment w:val="baseline"/>
      </w:pPr>
      <w:r>
        <w:rPr>
          <w:spacing w:val="-1"/>
        </w:rPr>
        <w:t>注</w:t>
      </w:r>
      <w:r>
        <w:rPr>
          <w:spacing w:val="-29"/>
        </w:rPr>
        <w:t xml:space="preserve"> </w:t>
      </w:r>
      <w:r>
        <w:rPr>
          <w:spacing w:val="-1"/>
        </w:rPr>
        <w:t>1：执行企业标准、团体标准、地方标准的产品，检</w:t>
      </w:r>
      <w:r>
        <w:rPr>
          <w:spacing w:val="-2"/>
        </w:rPr>
        <w:t>验项目参照上述内容执行。</w:t>
      </w:r>
    </w:p>
    <w:p w14:paraId="722D66A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 w:right="1" w:firstLine="418"/>
        <w:textAlignment w:val="baseline"/>
      </w:pPr>
      <w:r>
        <w:rPr>
          <w:spacing w:val="-2"/>
        </w:rPr>
        <w:t>凡是注日期的文件，其随后所有的修改单（不包括勘误的内容）或修订版不适用于本细则。凡</w:t>
      </w:r>
      <w:r>
        <w:rPr>
          <w:spacing w:val="-1"/>
        </w:rPr>
        <w:t>是不注日期的文件，其最新版本适用于本细则。</w:t>
      </w:r>
    </w:p>
    <w:p w14:paraId="289E44C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1"/>
        <w:rPr>
          <w:rFonts w:ascii="黑体" w:hAnsi="黑体" w:eastAsia="黑体" w:cs="黑体"/>
          <w:sz w:val="21"/>
          <w:szCs w:val="21"/>
        </w:rPr>
      </w:pPr>
      <w:r>
        <w:rPr>
          <w:rFonts w:ascii="黑体" w:hAnsi="黑体" w:eastAsia="黑体" w:cs="黑体"/>
          <w:b/>
          <w:bCs/>
          <w:spacing w:val="-5"/>
          <w:sz w:val="21"/>
          <w:szCs w:val="21"/>
        </w:rPr>
        <w:t>3</w:t>
      </w:r>
      <w:r>
        <w:rPr>
          <w:rFonts w:ascii="黑体" w:hAnsi="黑体" w:eastAsia="黑体" w:cs="黑体"/>
          <w:spacing w:val="-42"/>
          <w:sz w:val="21"/>
          <w:szCs w:val="21"/>
        </w:rPr>
        <w:t xml:space="preserve"> </w:t>
      </w:r>
      <w:r>
        <w:rPr>
          <w:rFonts w:ascii="黑体" w:hAnsi="黑体" w:eastAsia="黑体" w:cs="黑体"/>
          <w:b/>
          <w:bCs/>
          <w:spacing w:val="-5"/>
          <w:sz w:val="21"/>
          <w:szCs w:val="21"/>
        </w:rPr>
        <w:t>判定规则</w:t>
      </w:r>
    </w:p>
    <w:p w14:paraId="73B4BE3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22"/>
        <w:textAlignment w:val="baseline"/>
      </w:pPr>
      <w:r>
        <w:rPr>
          <w:spacing w:val="-3"/>
        </w:rPr>
        <w:t>3.1</w:t>
      </w:r>
      <w:r>
        <w:rPr>
          <w:spacing w:val="-37"/>
        </w:rPr>
        <w:t xml:space="preserve"> </w:t>
      </w:r>
      <w:r>
        <w:rPr>
          <w:spacing w:val="-3"/>
        </w:rPr>
        <w:t>参考标准依据</w:t>
      </w:r>
    </w:p>
    <w:p w14:paraId="2B171E12">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color w:val="000000"/>
          <w:szCs w:val="21"/>
        </w:rPr>
      </w:pPr>
      <w:r>
        <w:rPr>
          <w:rFonts w:hint="eastAsia" w:ascii="宋体" w:hAnsi="宋体"/>
          <w:color w:val="000000"/>
          <w:szCs w:val="21"/>
        </w:rPr>
        <w:t>GB 4706.1—2005 家用和类似用途电器的安全  第1部分：通用要求</w:t>
      </w:r>
    </w:p>
    <w:p w14:paraId="0135750B">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color w:val="000000"/>
          <w:szCs w:val="21"/>
        </w:rPr>
      </w:pPr>
      <w:r>
        <w:rPr>
          <w:rFonts w:hint="eastAsia" w:ascii="宋体" w:hAnsi="宋体"/>
          <w:color w:val="000000"/>
          <w:szCs w:val="21"/>
        </w:rPr>
        <w:t>GB 4706.19—2008 家用和类似用途电器的安全  液体加热器的特殊要求</w:t>
      </w:r>
    </w:p>
    <w:p w14:paraId="2C343B1D">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color w:val="000000"/>
          <w:szCs w:val="21"/>
        </w:rPr>
      </w:pPr>
      <w:r>
        <w:rPr>
          <w:rFonts w:hint="eastAsia" w:ascii="宋体" w:hAnsi="宋体"/>
          <w:color w:val="000000"/>
          <w:szCs w:val="21"/>
        </w:rPr>
        <w:t>GB 44246—2024 家用和类似用途电器、体育用品的电气部分及电玩具 安全技术规范</w:t>
      </w:r>
    </w:p>
    <w:p w14:paraId="113EB803">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color w:val="000000"/>
          <w:szCs w:val="21"/>
        </w:rPr>
      </w:pPr>
      <w:r>
        <w:rPr>
          <w:rFonts w:hint="eastAsia" w:ascii="宋体" w:hAnsi="宋体"/>
          <w:color w:val="000000"/>
          <w:szCs w:val="21"/>
        </w:rPr>
        <w:t>GB/T 4706.1—2024 家用和类似用途电器的安全  第1部分：通用要求</w:t>
      </w:r>
    </w:p>
    <w:p w14:paraId="751151A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18"/>
        <w:textAlignment w:val="baseline"/>
        <w:rPr>
          <w:rFonts w:hint="eastAsia" w:ascii="宋体" w:hAnsi="宋体"/>
          <w:color w:val="000000"/>
          <w:szCs w:val="21"/>
        </w:rPr>
      </w:pPr>
      <w:r>
        <w:rPr>
          <w:rFonts w:hint="eastAsia" w:ascii="宋体" w:hAnsi="宋体"/>
          <w:color w:val="000000"/>
          <w:szCs w:val="21"/>
        </w:rPr>
        <w:t>GB/T 4706.19—2024 家用和类似用途电器的安全  第19部分：液体加热器的特殊要求</w:t>
      </w:r>
    </w:p>
    <w:p w14:paraId="2128EB8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18"/>
        <w:textAlignment w:val="baseline"/>
      </w:pPr>
      <w:r>
        <w:rPr>
          <w:spacing w:val="-1"/>
        </w:rPr>
        <w:t>相关的法律、行政法规、部门规章、规范性文件</w:t>
      </w:r>
    </w:p>
    <w:p w14:paraId="4404349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20"/>
        <w:textAlignment w:val="baseline"/>
        <w:rPr>
          <w:rFonts w:ascii="Arial"/>
          <w:sz w:val="21"/>
        </w:rPr>
      </w:pPr>
      <w:r>
        <w:t>现行有效的企业标准、团体标准、地方标准及产品明</w:t>
      </w:r>
      <w:r>
        <w:rPr>
          <w:spacing w:val="-1"/>
        </w:rPr>
        <w:t>示质量要求</w:t>
      </w:r>
    </w:p>
    <w:p w14:paraId="60D359D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22"/>
        <w:textAlignment w:val="baseline"/>
      </w:pPr>
      <w:r>
        <w:rPr>
          <w:spacing w:val="-3"/>
        </w:rPr>
        <w:t>3.2</w:t>
      </w:r>
      <w:r>
        <w:rPr>
          <w:spacing w:val="-43"/>
        </w:rPr>
        <w:t xml:space="preserve"> </w:t>
      </w:r>
      <w:r>
        <w:rPr>
          <w:spacing w:val="-3"/>
        </w:rPr>
        <w:t>判定原则</w:t>
      </w:r>
    </w:p>
    <w:p w14:paraId="4228CC67">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422"/>
        <w:textAlignment w:val="baseline"/>
      </w:pPr>
      <w:r>
        <w:rPr>
          <w:spacing w:val="-2"/>
        </w:rPr>
        <w:t>经检验，快速筛查项目全部符合，判定为被抽查产品所检项目未发现不合格；快速筛查项目中</w:t>
      </w:r>
      <w:r>
        <w:t>任一项或一项以上结</w:t>
      </w:r>
      <w:bookmarkStart w:id="0" w:name="_GoBack"/>
      <w:bookmarkEnd w:id="0"/>
      <w:r>
        <w:t>果可疑，移交属地市场监管部门，并报组织实施市场监管部</w:t>
      </w:r>
      <w:r>
        <w:rPr>
          <w:spacing w:val="-1"/>
        </w:rPr>
        <w:t>门。</w:t>
      </w:r>
    </w:p>
    <w:sectPr>
      <w:footerReference r:id="rId5" w:type="default"/>
      <w:pgSz w:w="11907" w:h="16839"/>
      <w:pgMar w:top="1431" w:right="1471" w:bottom="1940" w:left="1480" w:header="0" w:footer="178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375CC">
    <w:pPr>
      <w:spacing w:line="171" w:lineRule="auto"/>
      <w:ind w:left="4434"/>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7DE7131"/>
    <w:rsid w:val="196D2B46"/>
    <w:rsid w:val="214E201A"/>
    <w:rsid w:val="219C7CBF"/>
    <w:rsid w:val="2921649D"/>
    <w:rsid w:val="454A17BA"/>
    <w:rsid w:val="465D0485"/>
    <w:rsid w:val="61306A6A"/>
    <w:rsid w:val="67B742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976</Words>
  <Characters>1055</Characters>
  <TotalTime>3</TotalTime>
  <ScaleCrop>false</ScaleCrop>
  <LinksUpToDate>false</LinksUpToDate>
  <CharactersWithSpaces>1086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2026-10-21T11:24:00Z</dcterms:created>
  <dc:creator>Legend User</dc:creator>
  <cp:lastModifiedBy>Anthea Chen</cp:lastModifiedBy>
  <cp:lastPrinted>2026-10-21T08:32:00Z</cp:lastPrinted>
  <dcterms:modified xsi:type="dcterms:W3CDTF">2026-10-22T01:29:20Z</dcterms:modified>
  <dc:title>××产品质量监督抽查实施细则</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2026-10-21T11:37:50Z</vt:filetime>
  </property>
  <property fmtid="{D5CDD505-2E9C-101B-9397-08002B2CF9AE}" pid="4" name="KSOProductBuildVer">
    <vt:lpwstr>2052-12.1.0.28505</vt:lpwstr>
  </property>
  <property fmtid="{D5CDD505-2E9C-101B-9397-08002B2CF9AE}" pid="5" name="ICV">
    <vt:lpwstr>6D60F69AD7E54D879058E94A247A1C95_13</vt:lpwstr>
  </property>
  <property fmtid="{D5CDD505-2E9C-101B-9397-08002B2CF9AE}" pid="6" name="KSOTemplateDocerSaveRecord">
    <vt:lpwstr>eyJoZGlkIjoiZGI3NDAwYTE5MTExYTk0OGViMzQyNDUyYzNhMDMwYTYiLCJ1c2VySWQiOiIzNTc3MjEzMjEifQ==</vt:lpwstr>
  </property>
</Properties>
</file>