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508D6">
      <w:pPr>
        <w:spacing w:line="296" w:lineRule="auto"/>
        <w:rPr>
          <w:rFonts w:hint="eastAsia"/>
          <w:lang w:eastAsia="zh-CN"/>
        </w:rPr>
      </w:pPr>
    </w:p>
    <w:p w14:paraId="39823D56">
      <w:pPr>
        <w:spacing w:line="297" w:lineRule="auto"/>
      </w:pPr>
    </w:p>
    <w:p w14:paraId="5208CC07">
      <w:pPr>
        <w:pStyle w:val="2"/>
        <w:spacing w:before="91" w:line="220" w:lineRule="auto"/>
        <w:ind w:left="0" w:leftChars="0" w:firstLine="0" w:firstLineChars="0"/>
        <w:jc w:val="center"/>
        <w:outlineLvl w:val="0"/>
        <w:rPr>
          <w:b/>
          <w:bCs/>
          <w:spacing w:val="-3"/>
          <w:sz w:val="28"/>
          <w:szCs w:val="28"/>
        </w:rPr>
      </w:pPr>
      <w:r>
        <w:rPr>
          <w:b/>
          <w:bCs/>
          <w:spacing w:val="-3"/>
          <w:sz w:val="28"/>
          <w:szCs w:val="28"/>
        </w:rPr>
        <w:t>青岛市</w:t>
      </w:r>
      <w:r>
        <w:rPr>
          <w:rFonts w:hint="eastAsia"/>
          <w:b/>
          <w:bCs/>
          <w:spacing w:val="-3"/>
          <w:sz w:val="28"/>
          <w:szCs w:val="28"/>
        </w:rPr>
        <w:t>模塑聚苯乙烯泡沫板（EPS）</w:t>
      </w:r>
      <w:r>
        <w:rPr>
          <w:b/>
          <w:bCs/>
          <w:spacing w:val="-3"/>
          <w:sz w:val="28"/>
          <w:szCs w:val="28"/>
        </w:rPr>
        <w:t>产品质量快速筛查实施细则</w:t>
      </w:r>
    </w:p>
    <w:p w14:paraId="78A1860F">
      <w:pPr>
        <w:pStyle w:val="2"/>
        <w:spacing w:before="91" w:line="220" w:lineRule="auto"/>
        <w:ind w:left="0" w:leftChars="0" w:firstLine="0" w:firstLineChars="0"/>
        <w:jc w:val="center"/>
        <w:outlineLvl w:val="0"/>
        <w:rPr>
          <w:sz w:val="28"/>
          <w:szCs w:val="28"/>
        </w:rPr>
      </w:pPr>
      <w:r>
        <w:rPr>
          <w:b/>
          <w:bCs/>
          <w:spacing w:val="-7"/>
          <w:sz w:val="28"/>
          <w:szCs w:val="28"/>
        </w:rPr>
        <w:t>（2026</w:t>
      </w:r>
      <w:r>
        <w:rPr>
          <w:spacing w:val="-58"/>
          <w:sz w:val="28"/>
          <w:szCs w:val="28"/>
        </w:rPr>
        <w:t xml:space="preserve"> </w:t>
      </w:r>
      <w:r>
        <w:rPr>
          <w:b/>
          <w:bCs/>
          <w:spacing w:val="-7"/>
          <w:sz w:val="28"/>
          <w:szCs w:val="28"/>
        </w:rPr>
        <w:t>年）</w:t>
      </w:r>
    </w:p>
    <w:p w14:paraId="3C62308B">
      <w:pPr>
        <w:spacing w:line="289" w:lineRule="auto"/>
      </w:pPr>
    </w:p>
    <w:p w14:paraId="3CB09245">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textAlignment w:val="baseline"/>
        <w:outlineLvl w:val="1"/>
      </w:pPr>
      <w:r>
        <w:rPr>
          <w:b/>
          <w:bCs/>
          <w:spacing w:val="-11"/>
        </w:rPr>
        <w:t>1</w:t>
      </w:r>
      <w:r>
        <w:rPr>
          <w:spacing w:val="7"/>
        </w:rPr>
        <w:t xml:space="preserve"> </w:t>
      </w:r>
      <w:r>
        <w:rPr>
          <w:b/>
          <w:bCs/>
          <w:spacing w:val="-11"/>
        </w:rPr>
        <w:t>抽样</w:t>
      </w:r>
    </w:p>
    <w:p w14:paraId="7B686A55">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textAlignment w:val="baseline"/>
        <w:rPr>
          <w:rFonts w:hint="eastAsia"/>
          <w:spacing w:val="-1"/>
        </w:rPr>
      </w:pPr>
      <w:r>
        <w:rPr>
          <w:rFonts w:hint="eastAsia"/>
          <w:spacing w:val="-1"/>
        </w:rPr>
        <w:t>1.1 抽样方法</w:t>
      </w:r>
    </w:p>
    <w:p w14:paraId="33409011">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0" w:leftChars="0" w:firstLine="418" w:firstLineChars="201"/>
        <w:textAlignment w:val="baseline"/>
        <w:rPr>
          <w:rFonts w:hint="eastAsia"/>
          <w:spacing w:val="-1"/>
        </w:rPr>
      </w:pPr>
      <w:r>
        <w:rPr>
          <w:rFonts w:hint="eastAsia"/>
          <w:spacing w:val="-1"/>
        </w:rPr>
        <w:t>以随机抽样的方式在被抽样生产者、销售者的待销产品中抽取。</w:t>
      </w:r>
    </w:p>
    <w:p w14:paraId="76C1FBD2">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0" w:leftChars="0" w:firstLine="418" w:firstLineChars="201"/>
        <w:textAlignment w:val="baseline"/>
        <w:rPr>
          <w:rFonts w:hint="eastAsia"/>
          <w:spacing w:val="-1"/>
        </w:rPr>
      </w:pPr>
      <w:r>
        <w:rPr>
          <w:rFonts w:hint="eastAsia"/>
          <w:spacing w:val="-1"/>
        </w:rPr>
        <w:t>随机数一般可使用随机数表等方法产生。</w:t>
      </w:r>
    </w:p>
    <w:p w14:paraId="5915A23E">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textAlignment w:val="baseline"/>
        <w:rPr>
          <w:rFonts w:hint="eastAsia"/>
          <w:spacing w:val="-1"/>
        </w:rPr>
      </w:pPr>
      <w:r>
        <w:rPr>
          <w:rFonts w:hint="eastAsia"/>
          <w:spacing w:val="-1"/>
        </w:rPr>
        <w:t>1.2 抽样基数</w:t>
      </w:r>
    </w:p>
    <w:p w14:paraId="3007746A">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0" w:leftChars="0" w:firstLine="418" w:firstLineChars="201"/>
        <w:textAlignment w:val="baseline"/>
        <w:rPr>
          <w:rFonts w:hint="eastAsia"/>
          <w:spacing w:val="-1"/>
        </w:rPr>
      </w:pPr>
      <w:r>
        <w:rPr>
          <w:rFonts w:hint="eastAsia"/>
          <w:spacing w:val="-1"/>
        </w:rPr>
        <w:t>抽查样品基数满足抽样数量即可。</w:t>
      </w:r>
    </w:p>
    <w:p w14:paraId="27E99797">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textAlignment w:val="baseline"/>
        <w:rPr>
          <w:rFonts w:hint="eastAsia"/>
          <w:spacing w:val="-1"/>
        </w:rPr>
      </w:pPr>
      <w:r>
        <w:rPr>
          <w:rFonts w:hint="eastAsia"/>
          <w:spacing w:val="-1"/>
        </w:rPr>
        <w:t>1.</w:t>
      </w:r>
      <w:r>
        <w:rPr>
          <w:rFonts w:hint="eastAsia"/>
          <w:spacing w:val="-1"/>
          <w:lang w:val="en-US" w:eastAsia="zh-CN"/>
        </w:rPr>
        <w:t>3</w:t>
      </w:r>
      <w:r>
        <w:rPr>
          <w:rFonts w:hint="eastAsia"/>
          <w:spacing w:val="-1"/>
        </w:rPr>
        <w:t xml:space="preserve"> 抽样数量</w:t>
      </w:r>
    </w:p>
    <w:p w14:paraId="61BF19A9">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0" w:leftChars="0" w:firstLine="0" w:firstLineChars="0"/>
        <w:jc w:val="center"/>
        <w:textAlignment w:val="baseline"/>
        <w:rPr>
          <w:rFonts w:hint="default" w:eastAsia="宋体"/>
          <w:spacing w:val="-1"/>
          <w:lang w:val="en-US" w:eastAsia="zh-CN"/>
        </w:rPr>
      </w:pPr>
      <w:r>
        <w:rPr>
          <w:rFonts w:hint="eastAsia" w:ascii="宋体" w:hAnsi="宋体" w:eastAsia="宋体"/>
        </w:rPr>
        <w:t>表1</w:t>
      </w:r>
      <w:r>
        <w:rPr>
          <w:rFonts w:hint="eastAsia"/>
          <w:lang w:val="en-US" w:eastAsia="zh-CN"/>
        </w:rPr>
        <w:t xml:space="preserve">  检样数量</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38"/>
        <w:gridCol w:w="2483"/>
      </w:tblGrid>
      <w:tr w14:paraId="33773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7130BEA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序号</w:t>
            </w:r>
          </w:p>
        </w:tc>
        <w:tc>
          <w:tcPr>
            <w:tcW w:w="3038" w:type="dxa"/>
          </w:tcPr>
          <w:p w14:paraId="41D758B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检验项目</w:t>
            </w:r>
          </w:p>
        </w:tc>
        <w:tc>
          <w:tcPr>
            <w:tcW w:w="2483" w:type="dxa"/>
          </w:tcPr>
          <w:p w14:paraId="58EB022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lang w:eastAsia="zh-CN"/>
              </w:rPr>
            </w:pPr>
            <w:r>
              <w:rPr>
                <w:rFonts w:hint="eastAsia" w:ascii="宋体" w:hAnsi="宋体" w:eastAsia="宋体"/>
                <w:lang w:eastAsia="zh-CN"/>
              </w:rPr>
              <w:t>样品数量</w:t>
            </w:r>
          </w:p>
        </w:tc>
      </w:tr>
      <w:tr w14:paraId="2CA3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985F30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1</w:t>
            </w:r>
          </w:p>
        </w:tc>
        <w:tc>
          <w:tcPr>
            <w:tcW w:w="3038" w:type="dxa"/>
          </w:tcPr>
          <w:p w14:paraId="7F5946F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宋体" w:hAnsi="宋体" w:eastAsia="宋体"/>
                <w:lang w:val="en-US" w:eastAsia="zh-CN"/>
              </w:rPr>
            </w:pPr>
            <w:r>
              <w:rPr>
                <w:rFonts w:hint="eastAsia" w:ascii="宋体" w:hAnsi="宋体" w:eastAsia="宋体"/>
              </w:rPr>
              <w:t>标签或使用说明书</w:t>
            </w:r>
            <w:r>
              <w:rPr>
                <w:rFonts w:hint="eastAsia" w:ascii="宋体" w:hAnsi="宋体" w:eastAsia="宋体"/>
                <w:lang w:val="en-US" w:eastAsia="zh-CN"/>
              </w:rPr>
              <w:t>/标志/标识</w:t>
            </w:r>
          </w:p>
        </w:tc>
        <w:tc>
          <w:tcPr>
            <w:tcW w:w="2483" w:type="dxa"/>
          </w:tcPr>
          <w:p w14:paraId="5DABDBF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b/>
                <w:bCs/>
                <w:lang w:eastAsia="zh-CN"/>
              </w:rPr>
            </w:pPr>
            <w:r>
              <w:rPr>
                <w:rFonts w:hint="eastAsia" w:ascii="宋体" w:hAnsi="宋体"/>
                <w:lang w:val="en-US" w:eastAsia="zh-CN"/>
              </w:rPr>
              <w:t>1块</w:t>
            </w:r>
          </w:p>
        </w:tc>
      </w:tr>
      <w:tr w14:paraId="5169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F2C1EF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2</w:t>
            </w:r>
          </w:p>
        </w:tc>
        <w:tc>
          <w:tcPr>
            <w:tcW w:w="3038" w:type="dxa"/>
            <w:vAlign w:val="center"/>
          </w:tcPr>
          <w:p w14:paraId="1CF7E40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表观密度偏差</w:t>
            </w:r>
          </w:p>
        </w:tc>
        <w:tc>
          <w:tcPr>
            <w:tcW w:w="2483" w:type="dxa"/>
            <w:vAlign w:val="center"/>
          </w:tcPr>
          <w:p w14:paraId="5DABFDF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lang w:eastAsia="zh-CN"/>
              </w:rPr>
            </w:pPr>
            <w:r>
              <w:rPr>
                <w:rFonts w:hint="eastAsia" w:ascii="宋体" w:hAnsi="宋体"/>
                <w:lang w:val="en-US" w:eastAsia="zh-CN"/>
              </w:rPr>
              <w:t>5块</w:t>
            </w:r>
          </w:p>
        </w:tc>
      </w:tr>
    </w:tbl>
    <w:p w14:paraId="42704A91">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0" w:leftChars="0" w:firstLine="418" w:firstLineChars="201"/>
        <w:textAlignment w:val="baseline"/>
        <w:rPr>
          <w:rFonts w:hint="eastAsia"/>
          <w:spacing w:val="-1"/>
        </w:rPr>
      </w:pPr>
      <w:r>
        <w:rPr>
          <w:rFonts w:hint="eastAsia"/>
          <w:spacing w:val="-1"/>
          <w:lang w:eastAsia="zh-CN"/>
        </w:rPr>
        <w:t>注</w:t>
      </w:r>
      <w:r>
        <w:rPr>
          <w:rFonts w:hint="eastAsia"/>
          <w:spacing w:val="-1"/>
          <w:lang w:val="en-US" w:eastAsia="zh-CN"/>
        </w:rPr>
        <w:t>1：样品数量1-5块，</w:t>
      </w:r>
      <w:r>
        <w:rPr>
          <w:rFonts w:hint="eastAsia"/>
          <w:spacing w:val="-1"/>
        </w:rPr>
        <w:t>样品尺寸不小于100mm×100mm。</w:t>
      </w:r>
    </w:p>
    <w:p w14:paraId="06817932">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textAlignment w:val="baseline"/>
      </w:pPr>
      <w:r>
        <w:rPr>
          <w:b/>
          <w:bCs/>
          <w:spacing w:val="-5"/>
        </w:rPr>
        <w:t>2</w:t>
      </w:r>
      <w:r>
        <w:rPr>
          <w:spacing w:val="9"/>
        </w:rPr>
        <w:t xml:space="preserve"> </w:t>
      </w:r>
      <w:r>
        <w:rPr>
          <w:b/>
          <w:bCs/>
          <w:spacing w:val="-5"/>
        </w:rPr>
        <w:t>检验依据</w:t>
      </w:r>
    </w:p>
    <w:p w14:paraId="549DF3D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57" w:firstLineChars="218"/>
        <w:textAlignment w:val="baseline"/>
      </w:pPr>
    </w:p>
    <w:p w14:paraId="04CAA334">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57" w:firstLineChars="218"/>
        <w:jc w:val="center"/>
        <w:textAlignment w:val="baseline"/>
        <w:rPr>
          <w:rFonts w:ascii="宋体" w:hAnsi="宋体" w:eastAsia="宋体"/>
        </w:rPr>
      </w:pPr>
      <w:r>
        <w:rPr>
          <w:rFonts w:hint="eastAsia" w:ascii="宋体" w:hAnsi="宋体" w:eastAsia="宋体"/>
        </w:rPr>
        <w:t>表</w:t>
      </w:r>
      <w:r>
        <w:rPr>
          <w:rFonts w:hint="eastAsia" w:ascii="宋体" w:hAnsi="宋体" w:eastAsia="宋体"/>
          <w:lang w:val="en-US" w:eastAsia="zh-CN"/>
        </w:rPr>
        <w:t>2</w:t>
      </w:r>
      <w:r>
        <w:rPr>
          <w:rFonts w:hint="eastAsia" w:ascii="宋体" w:hAnsi="宋体" w:eastAsia="宋体"/>
        </w:rPr>
        <w:t xml:space="preserve"> 模塑聚苯乙烯泡沫板（EPS）产品检验项目及检验方法</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38"/>
        <w:gridCol w:w="2483"/>
      </w:tblGrid>
      <w:tr w14:paraId="4E03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7E5DC30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序号</w:t>
            </w:r>
          </w:p>
        </w:tc>
        <w:tc>
          <w:tcPr>
            <w:tcW w:w="3038" w:type="dxa"/>
          </w:tcPr>
          <w:p w14:paraId="2836C94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检验项目</w:t>
            </w:r>
          </w:p>
        </w:tc>
        <w:tc>
          <w:tcPr>
            <w:tcW w:w="2483" w:type="dxa"/>
          </w:tcPr>
          <w:p w14:paraId="2D84A8E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检验方法</w:t>
            </w:r>
          </w:p>
        </w:tc>
      </w:tr>
      <w:tr w14:paraId="2D51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C8942B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1</w:t>
            </w:r>
          </w:p>
        </w:tc>
        <w:tc>
          <w:tcPr>
            <w:tcW w:w="3038" w:type="dxa"/>
          </w:tcPr>
          <w:p w14:paraId="440FF0D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宋体" w:hAnsi="宋体" w:eastAsia="宋体"/>
                <w:lang w:val="en-US" w:eastAsia="zh-CN"/>
              </w:rPr>
            </w:pPr>
            <w:r>
              <w:rPr>
                <w:rFonts w:hint="eastAsia" w:ascii="宋体" w:hAnsi="宋体" w:eastAsia="宋体"/>
              </w:rPr>
              <w:t>标签或使用说明书</w:t>
            </w:r>
            <w:r>
              <w:rPr>
                <w:rFonts w:hint="eastAsia" w:ascii="宋体" w:hAnsi="宋体" w:eastAsia="宋体"/>
                <w:lang w:val="en-US" w:eastAsia="zh-CN"/>
              </w:rPr>
              <w:t>/标志/标识</w:t>
            </w:r>
          </w:p>
        </w:tc>
        <w:tc>
          <w:tcPr>
            <w:tcW w:w="2483" w:type="dxa"/>
          </w:tcPr>
          <w:p w14:paraId="13FA0C1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b/>
                <w:bCs/>
                <w:lang w:eastAsia="zh-CN"/>
              </w:rPr>
            </w:pPr>
            <w:r>
              <w:rPr>
                <w:rFonts w:hint="eastAsia" w:ascii="宋体" w:hAnsi="宋体"/>
                <w:lang w:eastAsia="zh-CN"/>
              </w:rPr>
              <w:t>目测检查</w:t>
            </w:r>
          </w:p>
        </w:tc>
      </w:tr>
      <w:tr w14:paraId="030E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98EFD5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2</w:t>
            </w:r>
          </w:p>
        </w:tc>
        <w:tc>
          <w:tcPr>
            <w:tcW w:w="3038" w:type="dxa"/>
            <w:vAlign w:val="center"/>
          </w:tcPr>
          <w:p w14:paraId="2E29034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rPr>
            </w:pPr>
            <w:r>
              <w:rPr>
                <w:rFonts w:hint="eastAsia" w:ascii="宋体" w:hAnsi="宋体" w:eastAsia="宋体"/>
              </w:rPr>
              <w:t>表观密度偏差</w:t>
            </w:r>
          </w:p>
        </w:tc>
        <w:tc>
          <w:tcPr>
            <w:tcW w:w="2483" w:type="dxa"/>
            <w:vAlign w:val="center"/>
          </w:tcPr>
          <w:p w14:paraId="0423085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宋体" w:hAnsi="宋体" w:eastAsia="宋体"/>
                <w:lang w:eastAsia="zh-CN"/>
              </w:rPr>
            </w:pPr>
            <w:r>
              <w:rPr>
                <w:rFonts w:hint="eastAsia" w:ascii="宋体" w:hAnsi="宋体"/>
                <w:lang w:eastAsia="zh-CN"/>
              </w:rPr>
              <w:t>电子天平，钢卷尺</w:t>
            </w:r>
          </w:p>
        </w:tc>
      </w:tr>
    </w:tbl>
    <w:p w14:paraId="58D88A21">
      <w:pPr>
        <w:pStyle w:val="2"/>
        <w:keepNext w:val="0"/>
        <w:keepLines w:val="0"/>
        <w:pageBreakBefore w:val="0"/>
        <w:widowControl/>
        <w:kinsoku w:val="0"/>
        <w:wordWrap/>
        <w:overflowPunct/>
        <w:topLinePunct w:val="0"/>
        <w:autoSpaceDE w:val="0"/>
        <w:autoSpaceDN w:val="0"/>
        <w:bidi w:val="0"/>
        <w:adjustRightInd w:val="0"/>
        <w:snapToGrid w:val="0"/>
        <w:spacing w:before="170" w:line="400" w:lineRule="exact"/>
        <w:ind w:left="419"/>
        <w:textAlignment w:val="baseline"/>
      </w:pPr>
      <w:r>
        <w:rPr>
          <w:spacing w:val="-1"/>
        </w:rPr>
        <w:t>注</w:t>
      </w:r>
      <w:r>
        <w:rPr>
          <w:rFonts w:hint="eastAsia"/>
          <w:spacing w:val="-29"/>
          <w:lang w:val="en-US" w:eastAsia="zh-CN"/>
        </w:rPr>
        <w:t>2</w:t>
      </w:r>
      <w:r>
        <w:rPr>
          <w:spacing w:val="-1"/>
        </w:rPr>
        <w:t>：执行企业标准、团体标准、地方标准的产品，检</w:t>
      </w:r>
      <w:r>
        <w:rPr>
          <w:spacing w:val="-2"/>
        </w:rPr>
        <w:t>验项目参照上述内容执行。</w:t>
      </w:r>
    </w:p>
    <w:p w14:paraId="2C989859">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left="5" w:right="1" w:firstLine="418"/>
        <w:textAlignment w:val="baseline"/>
        <w:rPr>
          <w:spacing w:val="-1"/>
        </w:rPr>
      </w:pPr>
      <w:r>
        <w:rPr>
          <w:spacing w:val="-2"/>
        </w:rPr>
        <w:t>凡是注日期的文件，其随后所有的修改单（不包括勘误的内容）或修订版不适用于本细则。凡</w:t>
      </w:r>
      <w:r>
        <w:rPr>
          <w:spacing w:val="-1"/>
        </w:rPr>
        <w:t>是不注日期的文件，其最新版本适用于本细则。</w:t>
      </w:r>
    </w:p>
    <w:p w14:paraId="2C94C887">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left="5" w:right="1" w:firstLine="418"/>
        <w:textAlignment w:val="baseline"/>
        <w:rPr>
          <w:rFonts w:hint="eastAsia" w:cs="宋体"/>
          <w:spacing w:val="-1"/>
          <w:lang w:eastAsia="zh-CN"/>
        </w:rPr>
      </w:pPr>
      <w:r>
        <w:rPr>
          <w:spacing w:val="-2"/>
        </w:rPr>
        <w:t>注</w:t>
      </w:r>
      <w:r>
        <w:rPr>
          <w:rFonts w:hint="eastAsia"/>
          <w:spacing w:val="-29"/>
          <w:lang w:val="en-US" w:eastAsia="zh-CN"/>
        </w:rPr>
        <w:t>3</w:t>
      </w:r>
      <w:r>
        <w:rPr>
          <w:spacing w:val="-2"/>
        </w:rPr>
        <w:t>：</w:t>
      </w:r>
      <w:r>
        <w:rPr>
          <w:rFonts w:hint="eastAsia" w:ascii="宋体" w:hAnsi="宋体" w:eastAsia="宋体" w:cs="宋体"/>
          <w:spacing w:val="-1"/>
        </w:rPr>
        <w:t>标签或使用说明书中没有标明标称密度则不进行表观密度偏差项目检验</w:t>
      </w:r>
      <w:r>
        <w:rPr>
          <w:rFonts w:hint="eastAsia" w:cs="宋体"/>
          <w:spacing w:val="-1"/>
          <w:lang w:eastAsia="zh-CN"/>
        </w:rPr>
        <w:t>。</w:t>
      </w:r>
    </w:p>
    <w:p w14:paraId="3C775D26">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left="5" w:right="1" w:firstLine="418"/>
        <w:textAlignment w:val="baseline"/>
        <w:rPr>
          <w:spacing w:val="-1"/>
        </w:rPr>
      </w:pPr>
      <w:r>
        <w:rPr>
          <w:rFonts w:hint="eastAsia"/>
          <w:spacing w:val="-1"/>
        </w:rPr>
        <w:t>注</w:t>
      </w:r>
      <w:r>
        <w:rPr>
          <w:rFonts w:hint="eastAsia"/>
          <w:spacing w:val="-1"/>
          <w:lang w:val="en-US" w:eastAsia="zh-CN"/>
        </w:rPr>
        <w:t>4</w:t>
      </w:r>
      <w:r>
        <w:rPr>
          <w:rFonts w:hint="eastAsia"/>
          <w:spacing w:val="-1"/>
        </w:rPr>
        <w:t>：表观密度偏差</w:t>
      </w:r>
      <w:r>
        <w:rPr>
          <w:spacing w:val="-1"/>
        </w:rPr>
        <w:t>检测方法</w:t>
      </w:r>
    </w:p>
    <w:p w14:paraId="728DA91B">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left="5" w:right="1" w:firstLine="418"/>
        <w:textAlignment w:val="baseline"/>
        <w:rPr>
          <w:rFonts w:hint="eastAsia" w:ascii="宋体" w:hAnsi="宋体" w:eastAsia="宋体" w:cs="宋体"/>
          <w:spacing w:val="-2"/>
        </w:rPr>
      </w:pPr>
      <w:r>
        <w:rPr>
          <w:rFonts w:hint="eastAsia" w:ascii="宋体" w:hAnsi="宋体" w:eastAsia="宋体" w:cs="宋体"/>
          <w:spacing w:val="-2"/>
        </w:rPr>
        <w:t>试样数量为5块板，每块板测量长度l（mm）、宽度w（mm）、厚度h（mm），每个尺寸测量3个位置，取算术平均值。称取试样质量m（g）。</w:t>
      </w:r>
    </w:p>
    <w:p w14:paraId="57E002B8">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left="5" w:right="1" w:firstLine="418"/>
        <w:textAlignment w:val="baseline"/>
        <w:rPr>
          <w:rFonts w:hint="eastAsia" w:ascii="宋体" w:hAnsi="宋体" w:eastAsia="宋体" w:cs="宋体"/>
          <w:spacing w:val="-2"/>
        </w:rPr>
      </w:pPr>
      <w:r>
        <w:rPr>
          <w:rFonts w:hint="eastAsia" w:ascii="宋体" w:hAnsi="宋体" w:eastAsia="宋体" w:cs="宋体"/>
          <w:spacing w:val="-2"/>
        </w:rPr>
        <w:t>表观密度：ρ=m/(lwh)×10</w:t>
      </w:r>
      <w:r>
        <w:rPr>
          <w:rFonts w:hint="eastAsia" w:ascii="宋体" w:hAnsi="宋体" w:eastAsia="宋体" w:cs="宋体"/>
          <w:spacing w:val="-2"/>
          <w:vertAlign w:val="superscript"/>
        </w:rPr>
        <w:t>6</w:t>
      </w:r>
      <w:r>
        <w:rPr>
          <w:rFonts w:hint="eastAsia" w:ascii="宋体" w:hAnsi="宋体" w:eastAsia="宋体" w:cs="宋体"/>
          <w:spacing w:val="-2"/>
        </w:rPr>
        <w:t>（kg/m</w:t>
      </w:r>
      <w:r>
        <w:rPr>
          <w:rFonts w:hint="eastAsia" w:ascii="宋体" w:hAnsi="宋体" w:eastAsia="宋体" w:cs="宋体"/>
          <w:spacing w:val="-2"/>
          <w:vertAlign w:val="superscript"/>
        </w:rPr>
        <w:t>3</w:t>
      </w:r>
      <w:r>
        <w:rPr>
          <w:rFonts w:hint="eastAsia" w:ascii="宋体" w:hAnsi="宋体" w:eastAsia="宋体" w:cs="宋体"/>
          <w:spacing w:val="-2"/>
        </w:rPr>
        <w:t>）</w:t>
      </w:r>
    </w:p>
    <w:p w14:paraId="12F4B8CF">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left="5" w:right="1" w:firstLine="418"/>
        <w:textAlignment w:val="baseline"/>
        <w:rPr>
          <w:rFonts w:hint="eastAsia" w:ascii="宋体" w:hAnsi="宋体" w:eastAsia="宋体" w:cs="宋体"/>
          <w:spacing w:val="-2"/>
        </w:rPr>
      </w:pPr>
      <w:r>
        <w:rPr>
          <w:rFonts w:hint="eastAsia" w:ascii="宋体" w:hAnsi="宋体" w:eastAsia="宋体" w:cs="宋体"/>
          <w:spacing w:val="-2"/>
        </w:rPr>
        <w:t>表观密度偏差：W=(ρ-标称表观密度)/标称表观密度×100%</w:t>
      </w:r>
    </w:p>
    <w:p w14:paraId="442D6043">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left="5" w:right="1" w:firstLine="418"/>
        <w:textAlignment w:val="baseline"/>
        <w:rPr>
          <w:rFonts w:ascii="宋体" w:hAnsi="宋体" w:eastAsia="宋体" w:cs="宋体"/>
          <w:spacing w:val="-2"/>
        </w:rPr>
      </w:pPr>
      <w:r>
        <w:rPr>
          <w:rFonts w:hint="eastAsia" w:ascii="宋体" w:hAnsi="宋体" w:eastAsia="宋体" w:cs="宋体"/>
          <w:spacing w:val="-2"/>
        </w:rPr>
        <w:t>取5个试样试验结果的算术平均值。</w:t>
      </w:r>
    </w:p>
    <w:p w14:paraId="3DF90213">
      <w:pPr>
        <w:pStyle w:val="2"/>
        <w:keepNext w:val="0"/>
        <w:keepLines w:val="0"/>
        <w:pageBreakBefore w:val="0"/>
        <w:widowControl/>
        <w:kinsoku w:val="0"/>
        <w:wordWrap/>
        <w:overflowPunct/>
        <w:topLinePunct w:val="0"/>
        <w:autoSpaceDE w:val="0"/>
        <w:autoSpaceDN w:val="0"/>
        <w:bidi w:val="0"/>
        <w:adjustRightInd w:val="0"/>
        <w:snapToGrid w:val="0"/>
        <w:spacing w:before="70" w:line="400" w:lineRule="exact"/>
        <w:ind w:left="419"/>
        <w:textAlignment w:val="baseline"/>
      </w:pPr>
      <w:r>
        <w:rPr>
          <w:spacing w:val="-3"/>
        </w:rPr>
        <w:t>注</w:t>
      </w:r>
      <w:r>
        <w:rPr>
          <w:rFonts w:hint="eastAsia"/>
          <w:spacing w:val="-35"/>
          <w:lang w:val="en-US" w:eastAsia="zh-CN"/>
        </w:rPr>
        <w:t>5</w:t>
      </w:r>
      <w:r>
        <w:rPr>
          <w:rFonts w:hint="eastAsia" w:eastAsiaTheme="minorEastAsia"/>
          <w:spacing w:val="-3"/>
          <w:lang w:eastAsia="zh-CN"/>
        </w:rPr>
        <w:t>：</w:t>
      </w:r>
      <w:r>
        <w:rPr>
          <w:spacing w:val="-3"/>
        </w:rPr>
        <w:t>检测精度保证</w:t>
      </w:r>
    </w:p>
    <w:p w14:paraId="5E835F8A">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firstLine="420"/>
        <w:textAlignment w:val="baseline"/>
      </w:pPr>
      <w:r>
        <w:rPr>
          <w:spacing w:val="-2"/>
        </w:rPr>
        <w:t>电子</w:t>
      </w:r>
      <w:r>
        <w:rPr>
          <w:spacing w:val="-3"/>
        </w:rPr>
        <w:t>秤</w:t>
      </w:r>
      <w:r>
        <w:rPr>
          <w:rFonts w:hint="eastAsia" w:eastAsiaTheme="minorEastAsia"/>
          <w:spacing w:val="-3"/>
          <w:lang w:eastAsia="zh-CN"/>
        </w:rPr>
        <w:t>、钢卷尺</w:t>
      </w:r>
      <w:r>
        <w:rPr>
          <w:spacing w:val="-3"/>
        </w:rPr>
        <w:t>应检定合格。</w:t>
      </w:r>
    </w:p>
    <w:p w14:paraId="030C7512">
      <w:pPr>
        <w:keepNext w:val="0"/>
        <w:keepLines w:val="0"/>
        <w:pageBreakBefore w:val="0"/>
        <w:widowControl/>
        <w:kinsoku w:val="0"/>
        <w:wordWrap/>
        <w:overflowPunct/>
        <w:topLinePunct w:val="0"/>
        <w:autoSpaceDE w:val="0"/>
        <w:autoSpaceDN w:val="0"/>
        <w:bidi w:val="0"/>
        <w:adjustRightInd w:val="0"/>
        <w:snapToGrid w:val="0"/>
        <w:spacing w:before="68" w:line="400" w:lineRule="exact"/>
        <w:textAlignment w:val="baseline"/>
        <w:outlineLvl w:val="1"/>
        <w:rPr>
          <w:rFonts w:ascii="黑体" w:hAnsi="黑体" w:eastAsia="黑体" w:cs="黑体"/>
        </w:rPr>
      </w:pPr>
      <w:r>
        <w:rPr>
          <w:rFonts w:ascii="黑体" w:hAnsi="黑体" w:eastAsia="黑体" w:cs="黑体"/>
          <w:b/>
          <w:bCs/>
          <w:spacing w:val="-5"/>
        </w:rPr>
        <w:t>3</w:t>
      </w:r>
      <w:r>
        <w:rPr>
          <w:rFonts w:ascii="黑体" w:hAnsi="黑体" w:eastAsia="黑体" w:cs="黑体"/>
          <w:spacing w:val="-42"/>
        </w:rPr>
        <w:t xml:space="preserve"> </w:t>
      </w:r>
      <w:r>
        <w:rPr>
          <w:rFonts w:ascii="黑体" w:hAnsi="黑体" w:eastAsia="黑体" w:cs="黑体"/>
          <w:b/>
          <w:bCs/>
          <w:spacing w:val="-5"/>
        </w:rPr>
        <w:t>判定规则</w:t>
      </w:r>
    </w:p>
    <w:p w14:paraId="554D6304">
      <w:pPr>
        <w:pStyle w:val="2"/>
        <w:keepNext w:val="0"/>
        <w:keepLines w:val="0"/>
        <w:pageBreakBefore w:val="0"/>
        <w:widowControl/>
        <w:kinsoku w:val="0"/>
        <w:wordWrap/>
        <w:overflowPunct/>
        <w:topLinePunct w:val="0"/>
        <w:autoSpaceDE w:val="0"/>
        <w:autoSpaceDN w:val="0"/>
        <w:bidi w:val="0"/>
        <w:adjustRightInd w:val="0"/>
        <w:snapToGrid w:val="0"/>
        <w:spacing w:before="68" w:line="400" w:lineRule="exact"/>
        <w:ind w:left="422"/>
        <w:textAlignment w:val="baseline"/>
      </w:pPr>
      <w:r>
        <w:rPr>
          <w:spacing w:val="-3"/>
        </w:rPr>
        <w:t>3.1</w:t>
      </w:r>
      <w:r>
        <w:rPr>
          <w:spacing w:val="-37"/>
        </w:rPr>
        <w:t xml:space="preserve"> </w:t>
      </w:r>
      <w:r>
        <w:rPr>
          <w:spacing w:val="-3"/>
        </w:rPr>
        <w:t>参考标准依据</w:t>
      </w:r>
    </w:p>
    <w:p w14:paraId="31384D46">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416"/>
        <w:textAlignment w:val="baseline"/>
        <w:rPr>
          <w:rFonts w:hint="eastAsia" w:eastAsiaTheme="minorEastAsia"/>
          <w:spacing w:val="-1"/>
          <w:lang w:eastAsia="zh-CN"/>
        </w:rPr>
      </w:pPr>
      <w:r>
        <w:rPr>
          <w:rFonts w:hint="eastAsia"/>
          <w:spacing w:val="-1"/>
        </w:rPr>
        <w:t>GB/T 10801.1-2021</w:t>
      </w:r>
      <w:r>
        <w:rPr>
          <w:spacing w:val="-1"/>
        </w:rPr>
        <w:t>《绝热用模塑聚苯乙烯泡沫塑料(EPS)》</w:t>
      </w:r>
    </w:p>
    <w:p w14:paraId="3A5F6EA5">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416"/>
        <w:textAlignment w:val="baseline"/>
        <w:rPr>
          <w:rFonts w:hint="eastAsia" w:eastAsiaTheme="minorEastAsia"/>
          <w:spacing w:val="-1"/>
          <w:lang w:eastAsia="zh-CN"/>
        </w:rPr>
      </w:pPr>
      <w:r>
        <w:rPr>
          <w:rFonts w:hint="eastAsia"/>
          <w:spacing w:val="-1"/>
        </w:rPr>
        <w:t>GB/T 10801.1-2025</w:t>
      </w:r>
      <w:r>
        <w:rPr>
          <w:spacing w:val="-1"/>
        </w:rPr>
        <w:t>《绝热用模塑聚苯乙烯泡沫塑料(EPS)》</w:t>
      </w:r>
    </w:p>
    <w:p w14:paraId="728CAB81">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416"/>
        <w:textAlignment w:val="baseline"/>
        <w:rPr>
          <w:spacing w:val="-1"/>
        </w:rPr>
      </w:pPr>
      <w:r>
        <w:rPr>
          <w:rFonts w:hint="eastAsia"/>
          <w:spacing w:val="-1"/>
        </w:rPr>
        <w:t>GB 46520-2025《建筑用绝热材料及制品燃烧性能安全技术规范》</w:t>
      </w:r>
    </w:p>
    <w:p w14:paraId="16A978A5">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418"/>
        <w:textAlignment w:val="baseline"/>
      </w:pPr>
      <w:r>
        <w:rPr>
          <w:spacing w:val="-1"/>
        </w:rPr>
        <w:t>相关的法律、行政法规、部门规章、规范</w:t>
      </w:r>
      <w:bookmarkStart w:id="0" w:name="_GoBack"/>
      <w:bookmarkEnd w:id="0"/>
      <w:r>
        <w:rPr>
          <w:spacing w:val="-1"/>
        </w:rPr>
        <w:t>性文件</w:t>
      </w:r>
    </w:p>
    <w:p w14:paraId="3A3408A0">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420"/>
        <w:textAlignment w:val="baseline"/>
      </w:pPr>
      <w:r>
        <w:t>现行有效的企业标准、团体标准、地方标准及产品明</w:t>
      </w:r>
      <w:r>
        <w:rPr>
          <w:spacing w:val="-1"/>
        </w:rPr>
        <w:t>示质量要求</w:t>
      </w:r>
    </w:p>
    <w:p w14:paraId="769C6677">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422"/>
        <w:textAlignment w:val="baseline"/>
        <w:rPr>
          <w:spacing w:val="-3"/>
        </w:rPr>
      </w:pPr>
      <w:r>
        <w:rPr>
          <w:spacing w:val="-3"/>
        </w:rPr>
        <w:t>3.2</w:t>
      </w:r>
      <w:r>
        <w:rPr>
          <w:spacing w:val="-43"/>
        </w:rPr>
        <w:t xml:space="preserve"> </w:t>
      </w:r>
      <w:r>
        <w:rPr>
          <w:spacing w:val="-3"/>
        </w:rPr>
        <w:t>判定原则</w:t>
      </w:r>
    </w:p>
    <w:p w14:paraId="73AA60BA">
      <w:pPr>
        <w:pStyle w:val="2"/>
        <w:keepNext w:val="0"/>
        <w:keepLines w:val="0"/>
        <w:pageBreakBefore w:val="0"/>
        <w:widowControl/>
        <w:kinsoku w:val="0"/>
        <w:wordWrap/>
        <w:overflowPunct/>
        <w:topLinePunct w:val="0"/>
        <w:autoSpaceDE w:val="0"/>
        <w:autoSpaceDN w:val="0"/>
        <w:bidi w:val="0"/>
        <w:adjustRightInd w:val="0"/>
        <w:snapToGrid w:val="0"/>
        <w:spacing w:before="69" w:line="400" w:lineRule="exact"/>
        <w:ind w:left="0" w:leftChars="0" w:firstLine="418" w:firstLineChars="203"/>
        <w:textAlignment w:val="baseline"/>
      </w:pPr>
      <w:r>
        <w:rPr>
          <w:spacing w:val="-2"/>
        </w:rPr>
        <w:t>经检验，快速筛查项目全部符合，判定为被抽查产品所检项目未发现不合格；快速筛查项目中</w:t>
      </w:r>
      <w:r>
        <w:t>任一项或一项以上结果可疑，</w:t>
      </w:r>
      <w:r>
        <w:rPr>
          <w:rFonts w:hint="eastAsia"/>
          <w:lang w:eastAsia="zh-CN"/>
        </w:rPr>
        <w:t>移交</w:t>
      </w:r>
      <w:r>
        <w:t>属地市场监管部门，并报组织实施市场监管部</w:t>
      </w:r>
      <w:r>
        <w:rPr>
          <w:spacing w:val="-1"/>
        </w:rPr>
        <w:t>门。</w:t>
      </w:r>
    </w:p>
    <w:sectPr>
      <w:footerReference r:id="rId3" w:type="default"/>
      <w:pgSz w:w="11907" w:h="16839"/>
      <w:pgMar w:top="1431" w:right="1471" w:bottom="1940" w:left="1480" w:header="0" w:footer="178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3641">
    <w:pPr>
      <w:spacing w:line="171" w:lineRule="auto"/>
      <w:ind w:left="443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FD4"/>
    <w:rsid w:val="002E0881"/>
    <w:rsid w:val="00380244"/>
    <w:rsid w:val="0049198C"/>
    <w:rsid w:val="00663004"/>
    <w:rsid w:val="007E1FD4"/>
    <w:rsid w:val="009704DC"/>
    <w:rsid w:val="00C027C8"/>
    <w:rsid w:val="00F92F24"/>
    <w:rsid w:val="1EC57FA2"/>
    <w:rsid w:val="3776664B"/>
    <w:rsid w:val="4E5E4786"/>
    <w:rsid w:val="568B2BAE"/>
    <w:rsid w:val="74A848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eastAsia="Ari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699</Words>
  <Characters>795</Characters>
  <Lines>6</Lines>
  <Paragraphs>1</Paragraphs>
  <TotalTime>22</TotalTime>
  <ScaleCrop>false</ScaleCrop>
  <LinksUpToDate>false</LinksUpToDate>
  <CharactersWithSpaces>811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2026-10-21T05:12:00Z</dcterms:created>
  <dc:creator>Legend User</dc:creator>
  <cp:lastModifiedBy>Anthea Chen</cp:lastModifiedBy>
  <dcterms:modified xsi:type="dcterms:W3CDTF">2026-10-22T06:50:55Z</dcterms:modified>
  <dc:title>××产品质量监督抽查实施细则</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2026-10-21T11:37:50Z</vt:filetime>
  </property>
  <property fmtid="{D5CDD505-2E9C-101B-9397-08002B2CF9AE}" pid="4" name="KSOTemplateDocerSaveRecord">
    <vt:lpwstr>eyJoZGlkIjoiYTk3ODI2ZjgyYTE3ZTVmZjBmMWQ1OTlmZDA2YjJhNmMiLCJ1c2VySWQiOiIyNDcxMzg1MTUifQ==</vt:lpwstr>
  </property>
  <property fmtid="{D5CDD505-2E9C-101B-9397-08002B2CF9AE}" pid="5" name="KSOProductBuildVer">
    <vt:lpwstr>2052-12.1.0.29161</vt:lpwstr>
  </property>
  <property fmtid="{D5CDD505-2E9C-101B-9397-08002B2CF9AE}" pid="6" name="ICV">
    <vt:lpwstr>8D17922C387B41FC9CAF5D5190517406_13</vt:lpwstr>
  </property>
</Properties>
</file>