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FE02">
      <w:pPr>
        <w:snapToGrid w:val="0"/>
        <w:spacing w:line="360" w:lineRule="auto"/>
        <w:jc w:val="center"/>
        <w:rPr>
          <w:rFonts w:ascii="方正小标宋简体" w:hAnsi="仿宋" w:eastAsia="方正小标宋简体" w:cs="方正仿宋简体"/>
          <w:color w:val="000000"/>
          <w:sz w:val="32"/>
          <w:szCs w:val="32"/>
        </w:rPr>
      </w:pPr>
      <w:bookmarkStart w:id="1" w:name="_GoBack"/>
      <w:bookmarkEnd w:id="1"/>
      <w:r>
        <w:rPr>
          <w:rFonts w:hint="eastAsia" w:ascii="方正小标宋简体" w:hAnsi="仿宋" w:eastAsia="方正小标宋简体" w:cs="方正仿宋简体"/>
          <w:color w:val="000000"/>
          <w:sz w:val="32"/>
          <w:szCs w:val="32"/>
        </w:rPr>
        <w:t>青岛市运动服装产品质量监督抽查实施细则</w:t>
      </w:r>
    </w:p>
    <w:p w14:paraId="6BC3A8F1">
      <w:pPr>
        <w:snapToGrid w:val="0"/>
        <w:spacing w:line="360" w:lineRule="auto"/>
        <w:jc w:val="center"/>
        <w:rPr>
          <w:rFonts w:ascii="宋体" w:hAnsi="宋体" w:cs="宋体"/>
          <w:b/>
          <w:color w:val="000000"/>
          <w:sz w:val="28"/>
          <w:szCs w:val="28"/>
        </w:rPr>
      </w:pPr>
      <w:r>
        <w:rPr>
          <w:rFonts w:hint="eastAsia" w:ascii="方正小标宋简体" w:hAnsi="仿宋" w:eastAsia="方正小标宋简体" w:cs="方正仿宋简体"/>
          <w:color w:val="000000"/>
          <w:sz w:val="32"/>
          <w:szCs w:val="32"/>
        </w:rPr>
        <w:t>（2026年）</w:t>
      </w:r>
    </w:p>
    <w:p w14:paraId="2E44B1B3">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36F2B5A0">
      <w:pPr>
        <w:spacing w:line="460" w:lineRule="exact"/>
        <w:ind w:firstLine="420" w:firstLineChars="200"/>
        <w:rPr>
          <w:rFonts w:ascii="宋体" w:hAnsi="宋体" w:cs="Calibri"/>
          <w:color w:val="000000"/>
          <w:szCs w:val="21"/>
        </w:rPr>
      </w:pPr>
      <w:r>
        <w:rPr>
          <w:rFonts w:hint="eastAsia" w:ascii="宋体" w:hAnsi="宋体" w:cs="Calibri"/>
          <w:color w:val="000000"/>
          <w:szCs w:val="21"/>
        </w:rPr>
        <w:t>以随机方式在被抽样生产者、销售者的待销产品中抽取样品。</w:t>
      </w:r>
    </w:p>
    <w:p w14:paraId="15054C36">
      <w:pPr>
        <w:spacing w:line="360" w:lineRule="auto"/>
        <w:ind w:firstLine="420" w:firstLineChars="200"/>
        <w:rPr>
          <w:rFonts w:asciiTheme="majorEastAsia" w:hAnsiTheme="majorEastAsia" w:eastAsiaTheme="majorEastAsia" w:cstheme="majorEastAsia"/>
          <w:szCs w:val="21"/>
          <w:lang w:val="zh-CN"/>
        </w:rPr>
      </w:pPr>
      <w:r>
        <w:rPr>
          <w:rFonts w:hint="eastAsia" w:ascii="宋体" w:hAnsi="宋体"/>
          <w:color w:val="000000"/>
          <w:szCs w:val="21"/>
        </w:rPr>
        <w:t>每种产品抽取样品2件/套，其中1件/套作为检验样品，1件/套作为备用样品。</w:t>
      </w:r>
      <w:r>
        <w:rPr>
          <w:rFonts w:hint="eastAsia" w:ascii="宋体" w:hAnsi="宋体"/>
          <w:szCs w:val="21"/>
        </w:rPr>
        <w:t>如样品过小，可适当增加抽样数量，但不得超过检验、复检的合理需要。</w:t>
      </w:r>
    </w:p>
    <w:p w14:paraId="2291F17C">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338205D9">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表2 运动服装</w:t>
      </w:r>
      <w:r>
        <w:rPr>
          <w:rFonts w:asciiTheme="majorEastAsia" w:hAnsiTheme="majorEastAsia" w:eastAsiaTheme="majorEastAsia" w:cstheme="majorEastAsia"/>
          <w:b/>
          <w:bCs/>
          <w:szCs w:val="21"/>
        </w:rPr>
        <w:t>产品</w:t>
      </w:r>
      <w:r>
        <w:rPr>
          <w:rFonts w:hint="eastAsia" w:asciiTheme="majorEastAsia" w:hAnsiTheme="majorEastAsia" w:eastAsiaTheme="majorEastAsia" w:cstheme="majorEastAsia"/>
          <w:b/>
          <w:bCs/>
          <w:szCs w:val="21"/>
        </w:rPr>
        <w:t>检验项目</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3544"/>
      </w:tblGrid>
      <w:tr w14:paraId="0A35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804F0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序号</w:t>
            </w:r>
          </w:p>
        </w:tc>
        <w:tc>
          <w:tcPr>
            <w:tcW w:w="4111" w:type="dxa"/>
          </w:tcPr>
          <w:p w14:paraId="79D8B024">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检验项目</w:t>
            </w:r>
          </w:p>
        </w:tc>
        <w:tc>
          <w:tcPr>
            <w:tcW w:w="3544" w:type="dxa"/>
          </w:tcPr>
          <w:p w14:paraId="4A60476E">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检测方法</w:t>
            </w:r>
          </w:p>
        </w:tc>
      </w:tr>
      <w:tr w14:paraId="658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989A2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4111" w:type="dxa"/>
            <w:vAlign w:val="center"/>
          </w:tcPr>
          <w:p w14:paraId="3EC8C4B7">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甲醛含量</w:t>
            </w:r>
          </w:p>
        </w:tc>
        <w:tc>
          <w:tcPr>
            <w:tcW w:w="3544" w:type="dxa"/>
            <w:vAlign w:val="center"/>
          </w:tcPr>
          <w:p w14:paraId="5C22F1DE">
            <w:pPr>
              <w:adjustRightInd w:val="0"/>
              <w:snapToGrid w:val="0"/>
              <w:jc w:val="center"/>
              <w:rPr>
                <w:szCs w:val="21"/>
              </w:rPr>
            </w:pPr>
            <w:r>
              <w:rPr>
                <w:szCs w:val="21"/>
              </w:rPr>
              <w:t>GB/T 2912.1—2009</w:t>
            </w:r>
          </w:p>
        </w:tc>
      </w:tr>
      <w:tr w14:paraId="494D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3AD5C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4111" w:type="dxa"/>
            <w:vAlign w:val="center"/>
          </w:tcPr>
          <w:p w14:paraId="27A4AAF6">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pH值</w:t>
            </w:r>
          </w:p>
        </w:tc>
        <w:tc>
          <w:tcPr>
            <w:tcW w:w="3544" w:type="dxa"/>
            <w:vAlign w:val="center"/>
          </w:tcPr>
          <w:p w14:paraId="4397FAC9">
            <w:pPr>
              <w:adjustRightInd w:val="0"/>
              <w:snapToGrid w:val="0"/>
              <w:jc w:val="center"/>
              <w:rPr>
                <w:szCs w:val="21"/>
              </w:rPr>
            </w:pPr>
            <w:r>
              <w:rPr>
                <w:rFonts w:hint="eastAsia"/>
                <w:szCs w:val="21"/>
              </w:rPr>
              <w:t>GB/T 7573-2009</w:t>
            </w:r>
          </w:p>
        </w:tc>
      </w:tr>
      <w:tr w14:paraId="045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638A5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4111" w:type="dxa"/>
            <w:vAlign w:val="center"/>
          </w:tcPr>
          <w:p w14:paraId="2B7139A5">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可分解致癌芳香胺染料</w:t>
            </w:r>
          </w:p>
        </w:tc>
        <w:tc>
          <w:tcPr>
            <w:tcW w:w="3544" w:type="dxa"/>
            <w:vAlign w:val="center"/>
          </w:tcPr>
          <w:p w14:paraId="6EE648B5">
            <w:pPr>
              <w:adjustRightInd w:val="0"/>
              <w:snapToGrid w:val="0"/>
              <w:jc w:val="center"/>
              <w:rPr>
                <w:szCs w:val="21"/>
              </w:rPr>
            </w:pPr>
            <w:r>
              <w:rPr>
                <w:szCs w:val="21"/>
              </w:rPr>
              <w:t>GB/T 17592—20</w:t>
            </w:r>
            <w:r>
              <w:rPr>
                <w:rFonts w:hint="eastAsia"/>
                <w:szCs w:val="21"/>
              </w:rPr>
              <w:t>24</w:t>
            </w:r>
          </w:p>
          <w:p w14:paraId="69B2FA7E">
            <w:pPr>
              <w:adjustRightInd w:val="0"/>
              <w:snapToGrid w:val="0"/>
              <w:jc w:val="center"/>
              <w:rPr>
                <w:szCs w:val="21"/>
              </w:rPr>
            </w:pPr>
            <w:r>
              <w:rPr>
                <w:szCs w:val="21"/>
              </w:rPr>
              <w:t>GB/T 23344—2009</w:t>
            </w:r>
          </w:p>
        </w:tc>
      </w:tr>
      <w:tr w14:paraId="147C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951AE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4111" w:type="dxa"/>
            <w:vAlign w:val="center"/>
          </w:tcPr>
          <w:p w14:paraId="3966FFB8">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耐水色牢度</w:t>
            </w:r>
          </w:p>
        </w:tc>
        <w:tc>
          <w:tcPr>
            <w:tcW w:w="3544" w:type="dxa"/>
            <w:vAlign w:val="center"/>
          </w:tcPr>
          <w:p w14:paraId="5E826AB6">
            <w:pPr>
              <w:adjustRightInd w:val="0"/>
              <w:snapToGrid w:val="0"/>
              <w:jc w:val="center"/>
              <w:rPr>
                <w:szCs w:val="21"/>
              </w:rPr>
            </w:pPr>
            <w:r>
              <w:rPr>
                <w:rFonts w:hint="eastAsia"/>
                <w:szCs w:val="21"/>
              </w:rPr>
              <w:t>GB/T 5713-2013</w:t>
            </w:r>
          </w:p>
        </w:tc>
      </w:tr>
      <w:tr w14:paraId="2D5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2370A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4111" w:type="dxa"/>
            <w:vAlign w:val="center"/>
          </w:tcPr>
          <w:p w14:paraId="506CFE69">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耐酸汗渍色牢度</w:t>
            </w:r>
          </w:p>
        </w:tc>
        <w:tc>
          <w:tcPr>
            <w:tcW w:w="3544" w:type="dxa"/>
            <w:vAlign w:val="center"/>
          </w:tcPr>
          <w:p w14:paraId="6D5C5912">
            <w:pPr>
              <w:adjustRightInd w:val="0"/>
              <w:snapToGrid w:val="0"/>
              <w:jc w:val="center"/>
              <w:rPr>
                <w:szCs w:val="21"/>
              </w:rPr>
            </w:pPr>
            <w:r>
              <w:rPr>
                <w:rFonts w:hint="eastAsia"/>
                <w:szCs w:val="21"/>
              </w:rPr>
              <w:t>GB/T 3922-2013</w:t>
            </w:r>
          </w:p>
        </w:tc>
      </w:tr>
      <w:tr w14:paraId="316E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46264D">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4111" w:type="dxa"/>
            <w:vAlign w:val="center"/>
          </w:tcPr>
          <w:p w14:paraId="00223B59">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耐碱汗渍色牢度</w:t>
            </w:r>
          </w:p>
        </w:tc>
        <w:tc>
          <w:tcPr>
            <w:tcW w:w="3544" w:type="dxa"/>
            <w:vAlign w:val="center"/>
          </w:tcPr>
          <w:p w14:paraId="409C5778">
            <w:pPr>
              <w:adjustRightInd w:val="0"/>
              <w:snapToGrid w:val="0"/>
              <w:jc w:val="center"/>
              <w:rPr>
                <w:szCs w:val="21"/>
              </w:rPr>
            </w:pPr>
            <w:r>
              <w:rPr>
                <w:rFonts w:hint="eastAsia"/>
                <w:szCs w:val="21"/>
              </w:rPr>
              <w:t>GB/T 3922-2013</w:t>
            </w:r>
          </w:p>
        </w:tc>
      </w:tr>
      <w:tr w14:paraId="3978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FF5A3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4111" w:type="dxa"/>
            <w:vAlign w:val="center"/>
          </w:tcPr>
          <w:p w14:paraId="38A0570C">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耐干摩擦色牢度</w:t>
            </w:r>
          </w:p>
        </w:tc>
        <w:tc>
          <w:tcPr>
            <w:tcW w:w="3544" w:type="dxa"/>
            <w:vAlign w:val="center"/>
          </w:tcPr>
          <w:p w14:paraId="27E0581F">
            <w:pPr>
              <w:adjustRightInd w:val="0"/>
              <w:snapToGrid w:val="0"/>
              <w:jc w:val="center"/>
              <w:rPr>
                <w:szCs w:val="21"/>
              </w:rPr>
            </w:pPr>
            <w:r>
              <w:rPr>
                <w:rFonts w:hint="eastAsia"/>
                <w:szCs w:val="21"/>
              </w:rPr>
              <w:t>GB/T 3920-2008</w:t>
            </w:r>
          </w:p>
        </w:tc>
      </w:tr>
      <w:tr w14:paraId="64DD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22AD40">
            <w:pPr>
              <w:snapToGrid w:val="0"/>
              <w:spacing w:line="44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8</w:t>
            </w:r>
          </w:p>
        </w:tc>
        <w:tc>
          <w:tcPr>
            <w:tcW w:w="4111" w:type="dxa"/>
            <w:vAlign w:val="center"/>
          </w:tcPr>
          <w:p w14:paraId="7C8F07CA">
            <w:pPr>
              <w:snapToGrid w:val="0"/>
              <w:jc w:val="center"/>
              <w:rPr>
                <w:rFonts w:asciiTheme="minorEastAsia" w:hAnsiTheme="minorEastAsia" w:eastAsiaTheme="minorEastAsia"/>
                <w:color w:val="000000"/>
                <w:szCs w:val="21"/>
                <w:vertAlign w:val="superscript"/>
              </w:rPr>
            </w:pPr>
            <w:r>
              <w:rPr>
                <w:rFonts w:hint="eastAsia" w:asciiTheme="minorEastAsia" w:hAnsiTheme="minorEastAsia" w:eastAsiaTheme="minorEastAsia"/>
                <w:color w:val="000000"/>
                <w:szCs w:val="21"/>
              </w:rPr>
              <w:t>耐光、汗复合色牢度</w:t>
            </w:r>
            <w:r>
              <w:rPr>
                <w:rFonts w:hint="eastAsia" w:asciiTheme="minorEastAsia" w:hAnsiTheme="minorEastAsia" w:eastAsiaTheme="minorEastAsia"/>
                <w:color w:val="000000"/>
                <w:szCs w:val="21"/>
                <w:vertAlign w:val="superscript"/>
              </w:rPr>
              <w:t>a</w:t>
            </w:r>
          </w:p>
        </w:tc>
        <w:tc>
          <w:tcPr>
            <w:tcW w:w="3544" w:type="dxa"/>
            <w:vAlign w:val="center"/>
          </w:tcPr>
          <w:p w14:paraId="7623336E">
            <w:pPr>
              <w:adjustRightInd w:val="0"/>
              <w:snapToGrid w:val="0"/>
              <w:jc w:val="center"/>
              <w:rPr>
                <w:szCs w:val="21"/>
              </w:rPr>
            </w:pPr>
            <w:r>
              <w:rPr>
                <w:rFonts w:hint="eastAsia"/>
                <w:szCs w:val="21"/>
              </w:rPr>
              <w:t>GB/T 14576-2009</w:t>
            </w:r>
          </w:p>
        </w:tc>
      </w:tr>
      <w:tr w14:paraId="4DD4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503730">
            <w:pPr>
              <w:snapToGrid w:val="0"/>
              <w:spacing w:line="440" w:lineRule="exact"/>
              <w:jc w:val="center"/>
              <w:rPr>
                <w:rFonts w:asciiTheme="minorEastAsia" w:hAnsiTheme="minorEastAsia" w:eastAsiaTheme="minorEastAsia"/>
                <w:color w:val="000000"/>
                <w:szCs w:val="21"/>
              </w:rPr>
            </w:pPr>
            <w:bookmarkStart w:id="0" w:name="_Hlk228265325"/>
            <w:r>
              <w:rPr>
                <w:rFonts w:hint="eastAsia" w:asciiTheme="minorEastAsia" w:hAnsiTheme="minorEastAsia" w:eastAsiaTheme="minorEastAsia"/>
                <w:color w:val="000000"/>
                <w:szCs w:val="21"/>
              </w:rPr>
              <w:t>9</w:t>
            </w:r>
          </w:p>
        </w:tc>
        <w:tc>
          <w:tcPr>
            <w:tcW w:w="4111" w:type="dxa"/>
            <w:vAlign w:val="center"/>
          </w:tcPr>
          <w:p w14:paraId="0875C26B">
            <w:pPr>
              <w:snapToGrid w:val="0"/>
              <w:jc w:val="center"/>
              <w:rPr>
                <w:rFonts w:asciiTheme="minorEastAsia" w:hAnsiTheme="minorEastAsia" w:eastAsiaTheme="minorEastAsia"/>
                <w:color w:val="000000"/>
                <w:szCs w:val="21"/>
                <w:vertAlign w:val="superscript"/>
              </w:rPr>
            </w:pPr>
            <w:r>
              <w:rPr>
                <w:rFonts w:hint="eastAsia" w:asciiTheme="minorEastAsia" w:hAnsiTheme="minorEastAsia" w:eastAsiaTheme="minorEastAsia"/>
                <w:color w:val="000000"/>
                <w:szCs w:val="21"/>
              </w:rPr>
              <w:t>耐海水色牢度</w:t>
            </w:r>
            <w:r>
              <w:rPr>
                <w:rFonts w:hint="eastAsia" w:asciiTheme="minorEastAsia" w:hAnsiTheme="minorEastAsia" w:eastAsiaTheme="minorEastAsia"/>
                <w:color w:val="000000"/>
                <w:szCs w:val="21"/>
                <w:vertAlign w:val="superscript"/>
              </w:rPr>
              <w:t>b</w:t>
            </w:r>
          </w:p>
        </w:tc>
        <w:tc>
          <w:tcPr>
            <w:tcW w:w="3544" w:type="dxa"/>
            <w:vAlign w:val="center"/>
          </w:tcPr>
          <w:p w14:paraId="3ECD55A8">
            <w:pPr>
              <w:adjustRightInd w:val="0"/>
              <w:snapToGrid w:val="0"/>
              <w:jc w:val="center"/>
              <w:rPr>
                <w:szCs w:val="21"/>
              </w:rPr>
            </w:pPr>
            <w:r>
              <w:rPr>
                <w:rFonts w:hint="eastAsia"/>
                <w:szCs w:val="21"/>
              </w:rPr>
              <w:t>GB/T 5714-2019</w:t>
            </w:r>
          </w:p>
        </w:tc>
      </w:tr>
      <w:tr w14:paraId="7B6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EAB73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4111" w:type="dxa"/>
            <w:vAlign w:val="center"/>
          </w:tcPr>
          <w:p w14:paraId="17C7FB98">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耐氯化水（游泳池水）</w:t>
            </w:r>
          </w:p>
          <w:p w14:paraId="210218F6">
            <w:pPr>
              <w:snapToGrid w:val="0"/>
              <w:jc w:val="center"/>
              <w:rPr>
                <w:rFonts w:asciiTheme="minorEastAsia" w:hAnsiTheme="minorEastAsia" w:eastAsiaTheme="minorEastAsia"/>
                <w:color w:val="000000"/>
                <w:szCs w:val="21"/>
                <w:vertAlign w:val="superscript"/>
              </w:rPr>
            </w:pPr>
            <w:r>
              <w:rPr>
                <w:rFonts w:hint="eastAsia" w:asciiTheme="minorEastAsia" w:hAnsiTheme="minorEastAsia" w:eastAsiaTheme="minorEastAsia"/>
                <w:color w:val="000000"/>
                <w:szCs w:val="21"/>
              </w:rPr>
              <w:t>色牢度</w:t>
            </w:r>
            <w:r>
              <w:rPr>
                <w:rFonts w:hint="eastAsia" w:asciiTheme="minorEastAsia" w:hAnsiTheme="minorEastAsia" w:eastAsiaTheme="minorEastAsia"/>
                <w:color w:val="000000"/>
                <w:szCs w:val="21"/>
                <w:vertAlign w:val="superscript"/>
              </w:rPr>
              <w:t>b</w:t>
            </w:r>
          </w:p>
        </w:tc>
        <w:tc>
          <w:tcPr>
            <w:tcW w:w="3544" w:type="dxa"/>
            <w:vAlign w:val="center"/>
          </w:tcPr>
          <w:p w14:paraId="2FADCA78">
            <w:pPr>
              <w:adjustRightInd w:val="0"/>
              <w:snapToGrid w:val="0"/>
              <w:jc w:val="center"/>
              <w:rPr>
                <w:szCs w:val="21"/>
              </w:rPr>
            </w:pPr>
            <w:r>
              <w:rPr>
                <w:rFonts w:hint="eastAsia"/>
                <w:szCs w:val="21"/>
              </w:rPr>
              <w:t>GB/T 8433-2013</w:t>
            </w:r>
          </w:p>
        </w:tc>
      </w:tr>
      <w:tr w14:paraId="606D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7A90D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c>
          <w:tcPr>
            <w:tcW w:w="4111" w:type="dxa"/>
            <w:vAlign w:val="center"/>
          </w:tcPr>
          <w:p w14:paraId="231910B2">
            <w:pPr>
              <w:snapToGrid w:val="0"/>
              <w:jc w:val="center"/>
              <w:rPr>
                <w:rFonts w:asciiTheme="minorEastAsia" w:hAnsiTheme="minorEastAsia" w:eastAsiaTheme="minorEastAsia"/>
                <w:color w:val="000000"/>
                <w:szCs w:val="21"/>
                <w:vertAlign w:val="superscript"/>
              </w:rPr>
            </w:pPr>
            <w:r>
              <w:rPr>
                <w:rFonts w:hint="eastAsia" w:asciiTheme="minorEastAsia" w:hAnsiTheme="minorEastAsia" w:eastAsiaTheme="minorEastAsia"/>
                <w:color w:val="000000"/>
                <w:szCs w:val="21"/>
              </w:rPr>
              <w:t>耐氯化水（游泳池水）拉伸弹性回复率</w:t>
            </w:r>
            <w:r>
              <w:rPr>
                <w:rFonts w:hint="eastAsia" w:asciiTheme="minorEastAsia" w:hAnsiTheme="minorEastAsia" w:eastAsiaTheme="minorEastAsia"/>
                <w:color w:val="000000"/>
                <w:szCs w:val="21"/>
                <w:vertAlign w:val="superscript"/>
              </w:rPr>
              <w:t>b</w:t>
            </w:r>
          </w:p>
        </w:tc>
        <w:tc>
          <w:tcPr>
            <w:tcW w:w="3544" w:type="dxa"/>
            <w:vAlign w:val="center"/>
          </w:tcPr>
          <w:p w14:paraId="15EBF965">
            <w:pPr>
              <w:adjustRightInd w:val="0"/>
              <w:snapToGrid w:val="0"/>
              <w:jc w:val="center"/>
              <w:rPr>
                <w:szCs w:val="21"/>
              </w:rPr>
            </w:pPr>
            <w:r>
              <w:rPr>
                <w:rFonts w:hint="eastAsia"/>
                <w:szCs w:val="21"/>
              </w:rPr>
              <w:t>GB/T 8433-2013</w:t>
            </w:r>
          </w:p>
          <w:p w14:paraId="70B510A5">
            <w:pPr>
              <w:adjustRightInd w:val="0"/>
              <w:snapToGrid w:val="0"/>
              <w:jc w:val="center"/>
              <w:rPr>
                <w:szCs w:val="21"/>
              </w:rPr>
            </w:pPr>
            <w:r>
              <w:rPr>
                <w:rFonts w:hint="eastAsia"/>
                <w:szCs w:val="21"/>
              </w:rPr>
              <w:t>相应产品标准</w:t>
            </w:r>
          </w:p>
        </w:tc>
      </w:tr>
      <w:bookmarkEnd w:id="0"/>
      <w:tr w14:paraId="5ECB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CB60C4">
            <w:pPr>
              <w:spacing w:line="380" w:lineRule="exact"/>
              <w:jc w:val="center"/>
              <w:rPr>
                <w:rFonts w:cs="仿宋" w:asciiTheme="minorEastAsia" w:hAnsiTheme="minorEastAsia" w:eastAsiaTheme="minorEastAsia"/>
                <w:szCs w:val="21"/>
              </w:rPr>
            </w:pPr>
            <w:r>
              <w:rPr>
                <w:rFonts w:hint="eastAsia" w:asciiTheme="minorEastAsia" w:hAnsiTheme="minorEastAsia" w:eastAsiaTheme="minorEastAsia"/>
                <w:color w:val="000000"/>
                <w:szCs w:val="21"/>
              </w:rPr>
              <w:t>12</w:t>
            </w:r>
          </w:p>
        </w:tc>
        <w:tc>
          <w:tcPr>
            <w:tcW w:w="4111" w:type="dxa"/>
            <w:vAlign w:val="center"/>
          </w:tcPr>
          <w:p w14:paraId="3053D4A8">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纤维含量</w:t>
            </w:r>
          </w:p>
        </w:tc>
        <w:tc>
          <w:tcPr>
            <w:tcW w:w="3544" w:type="dxa"/>
            <w:vAlign w:val="center"/>
          </w:tcPr>
          <w:p w14:paraId="128B8A44">
            <w:pPr>
              <w:adjustRightInd w:val="0"/>
              <w:snapToGrid w:val="0"/>
              <w:jc w:val="center"/>
              <w:rPr>
                <w:color w:val="000000"/>
                <w:szCs w:val="21"/>
              </w:rPr>
            </w:pPr>
            <w:r>
              <w:rPr>
                <w:color w:val="000000"/>
                <w:szCs w:val="21"/>
              </w:rPr>
              <w:t>FZ/T 01057.1—2007</w:t>
            </w:r>
          </w:p>
          <w:p w14:paraId="5E843029">
            <w:pPr>
              <w:adjustRightInd w:val="0"/>
              <w:snapToGrid w:val="0"/>
              <w:jc w:val="center"/>
              <w:rPr>
                <w:color w:val="000000"/>
                <w:szCs w:val="21"/>
              </w:rPr>
            </w:pPr>
            <w:r>
              <w:rPr>
                <w:color w:val="000000"/>
                <w:szCs w:val="21"/>
              </w:rPr>
              <w:t>FZ/T 01057.2—2007</w:t>
            </w:r>
          </w:p>
          <w:p w14:paraId="4D8A6302">
            <w:pPr>
              <w:adjustRightInd w:val="0"/>
              <w:snapToGrid w:val="0"/>
              <w:jc w:val="center"/>
              <w:rPr>
                <w:color w:val="000000"/>
                <w:szCs w:val="21"/>
              </w:rPr>
            </w:pPr>
            <w:r>
              <w:rPr>
                <w:color w:val="000000"/>
                <w:szCs w:val="21"/>
              </w:rPr>
              <w:t>FZ/T 01057.3—2007</w:t>
            </w:r>
          </w:p>
          <w:p w14:paraId="5B9B284B">
            <w:pPr>
              <w:adjustRightInd w:val="0"/>
              <w:snapToGrid w:val="0"/>
              <w:jc w:val="center"/>
              <w:rPr>
                <w:color w:val="000000"/>
                <w:szCs w:val="21"/>
              </w:rPr>
            </w:pPr>
            <w:r>
              <w:rPr>
                <w:color w:val="000000"/>
                <w:szCs w:val="21"/>
              </w:rPr>
              <w:t>FZ/T 01057.4—2007</w:t>
            </w:r>
          </w:p>
          <w:p w14:paraId="2338EDB4">
            <w:pPr>
              <w:adjustRightInd w:val="0"/>
              <w:snapToGrid w:val="0"/>
              <w:jc w:val="center"/>
              <w:rPr>
                <w:color w:val="000000"/>
                <w:szCs w:val="21"/>
              </w:rPr>
            </w:pPr>
            <w:r>
              <w:rPr>
                <w:color w:val="000000"/>
                <w:szCs w:val="21"/>
              </w:rPr>
              <w:t>GB/T 2910.1—2009</w:t>
            </w:r>
          </w:p>
          <w:p w14:paraId="0F979EE7">
            <w:pPr>
              <w:adjustRightInd w:val="0"/>
              <w:snapToGrid w:val="0"/>
              <w:jc w:val="center"/>
              <w:rPr>
                <w:color w:val="000000"/>
                <w:szCs w:val="21"/>
              </w:rPr>
            </w:pPr>
            <w:r>
              <w:rPr>
                <w:color w:val="000000"/>
                <w:szCs w:val="21"/>
              </w:rPr>
              <w:t>GB/T 2910.2—2009</w:t>
            </w:r>
          </w:p>
          <w:p w14:paraId="069AB3A9">
            <w:pPr>
              <w:adjustRightInd w:val="0"/>
              <w:snapToGrid w:val="0"/>
              <w:jc w:val="center"/>
              <w:rPr>
                <w:color w:val="000000"/>
                <w:szCs w:val="21"/>
              </w:rPr>
            </w:pPr>
            <w:r>
              <w:rPr>
                <w:color w:val="000000"/>
                <w:szCs w:val="21"/>
              </w:rPr>
              <w:t>GB/T 2910.3—2009</w:t>
            </w:r>
          </w:p>
          <w:p w14:paraId="225C4E22">
            <w:pPr>
              <w:adjustRightInd w:val="0"/>
              <w:snapToGrid w:val="0"/>
              <w:jc w:val="center"/>
              <w:rPr>
                <w:szCs w:val="21"/>
              </w:rPr>
            </w:pPr>
            <w:r>
              <w:rPr>
                <w:szCs w:val="21"/>
              </w:rPr>
              <w:t>GB/T 2910.4—2022</w:t>
            </w:r>
          </w:p>
          <w:p w14:paraId="6042ED0F">
            <w:pPr>
              <w:adjustRightInd w:val="0"/>
              <w:snapToGrid w:val="0"/>
              <w:jc w:val="center"/>
              <w:rPr>
                <w:color w:val="000000"/>
                <w:szCs w:val="21"/>
              </w:rPr>
            </w:pPr>
            <w:r>
              <w:rPr>
                <w:color w:val="000000"/>
                <w:szCs w:val="21"/>
              </w:rPr>
              <w:t>GB/T 2910.6—2009</w:t>
            </w:r>
          </w:p>
          <w:p w14:paraId="1B670075">
            <w:pPr>
              <w:adjustRightInd w:val="0"/>
              <w:snapToGrid w:val="0"/>
              <w:jc w:val="center"/>
              <w:rPr>
                <w:color w:val="000000"/>
                <w:szCs w:val="21"/>
              </w:rPr>
            </w:pPr>
            <w:r>
              <w:rPr>
                <w:color w:val="000000"/>
                <w:szCs w:val="21"/>
              </w:rPr>
              <w:t>GB/T 2910.7—2009</w:t>
            </w:r>
          </w:p>
          <w:p w14:paraId="22B3A520">
            <w:pPr>
              <w:adjustRightInd w:val="0"/>
              <w:snapToGrid w:val="0"/>
              <w:jc w:val="center"/>
              <w:rPr>
                <w:color w:val="000000"/>
                <w:szCs w:val="21"/>
              </w:rPr>
            </w:pPr>
            <w:r>
              <w:rPr>
                <w:color w:val="000000"/>
                <w:szCs w:val="21"/>
              </w:rPr>
              <w:t>GB/T 2910.8—2009</w:t>
            </w:r>
          </w:p>
          <w:p w14:paraId="3B9F68F3">
            <w:pPr>
              <w:adjustRightInd w:val="0"/>
              <w:snapToGrid w:val="0"/>
              <w:jc w:val="center"/>
              <w:rPr>
                <w:color w:val="000000"/>
                <w:szCs w:val="21"/>
              </w:rPr>
            </w:pPr>
            <w:r>
              <w:rPr>
                <w:color w:val="000000"/>
                <w:szCs w:val="21"/>
              </w:rPr>
              <w:t xml:space="preserve"> GB/T 2910.11—20</w:t>
            </w:r>
            <w:r>
              <w:rPr>
                <w:rFonts w:hint="eastAsia"/>
                <w:color w:val="000000"/>
                <w:szCs w:val="21"/>
              </w:rPr>
              <w:t>24</w:t>
            </w:r>
            <w:r>
              <w:rPr>
                <w:color w:val="000000"/>
                <w:szCs w:val="21"/>
              </w:rPr>
              <w:t xml:space="preserve"> </w:t>
            </w:r>
          </w:p>
          <w:p w14:paraId="6E61E381">
            <w:pPr>
              <w:adjustRightInd w:val="0"/>
              <w:snapToGrid w:val="0"/>
              <w:jc w:val="center"/>
              <w:rPr>
                <w:szCs w:val="21"/>
              </w:rPr>
            </w:pPr>
            <w:r>
              <w:rPr>
                <w:rFonts w:hint="eastAsia"/>
                <w:szCs w:val="21"/>
              </w:rPr>
              <w:t xml:space="preserve"> </w:t>
            </w:r>
            <w:r>
              <w:rPr>
                <w:szCs w:val="21"/>
              </w:rPr>
              <w:t>GB/T 2910.12—20</w:t>
            </w:r>
            <w:r>
              <w:rPr>
                <w:rFonts w:hint="eastAsia"/>
                <w:szCs w:val="21"/>
              </w:rPr>
              <w:t>23</w:t>
            </w:r>
          </w:p>
          <w:p w14:paraId="68D68A66">
            <w:pPr>
              <w:adjustRightInd w:val="0"/>
              <w:snapToGrid w:val="0"/>
              <w:jc w:val="center"/>
              <w:rPr>
                <w:color w:val="000000"/>
                <w:szCs w:val="21"/>
              </w:rPr>
            </w:pPr>
            <w:r>
              <w:rPr>
                <w:color w:val="000000"/>
                <w:szCs w:val="21"/>
              </w:rPr>
              <w:t xml:space="preserve"> GB/T 2910.18—2009</w:t>
            </w:r>
          </w:p>
          <w:p w14:paraId="06C901E3">
            <w:pPr>
              <w:adjustRightInd w:val="0"/>
              <w:snapToGrid w:val="0"/>
              <w:jc w:val="center"/>
              <w:rPr>
                <w:color w:val="000000"/>
                <w:szCs w:val="21"/>
              </w:rPr>
            </w:pPr>
            <w:r>
              <w:rPr>
                <w:color w:val="000000"/>
                <w:szCs w:val="21"/>
              </w:rPr>
              <w:t xml:space="preserve"> GB/T 2910.20—2009</w:t>
            </w:r>
          </w:p>
          <w:p w14:paraId="3D806932">
            <w:pPr>
              <w:adjustRightInd w:val="0"/>
              <w:snapToGrid w:val="0"/>
              <w:jc w:val="center"/>
              <w:rPr>
                <w:color w:val="000000"/>
                <w:szCs w:val="21"/>
              </w:rPr>
            </w:pPr>
            <w:r>
              <w:rPr>
                <w:color w:val="000000"/>
                <w:szCs w:val="21"/>
              </w:rPr>
              <w:t xml:space="preserve"> GB/T 2910.22—2009</w:t>
            </w:r>
          </w:p>
          <w:p w14:paraId="081DE074">
            <w:pPr>
              <w:adjustRightInd w:val="0"/>
              <w:snapToGrid w:val="0"/>
              <w:jc w:val="center"/>
              <w:rPr>
                <w:szCs w:val="21"/>
              </w:rPr>
            </w:pPr>
            <w:r>
              <w:rPr>
                <w:rFonts w:hint="eastAsia"/>
                <w:szCs w:val="21"/>
              </w:rPr>
              <w:t xml:space="preserve">  </w:t>
            </w:r>
            <w:r>
              <w:rPr>
                <w:szCs w:val="21"/>
              </w:rPr>
              <w:t>GB/T 2910.101—2009</w:t>
            </w:r>
          </w:p>
          <w:p w14:paraId="66D3A0CD">
            <w:pPr>
              <w:adjustRightInd w:val="0"/>
              <w:snapToGrid w:val="0"/>
              <w:jc w:val="center"/>
              <w:rPr>
                <w:szCs w:val="21"/>
              </w:rPr>
            </w:pPr>
            <w:r>
              <w:rPr>
                <w:szCs w:val="21"/>
              </w:rPr>
              <w:t>GB/T 38015—2019</w:t>
            </w:r>
          </w:p>
          <w:p w14:paraId="1B1A3A03">
            <w:pPr>
              <w:adjustRightInd w:val="0"/>
              <w:snapToGrid w:val="0"/>
              <w:jc w:val="center"/>
              <w:rPr>
                <w:color w:val="000000"/>
                <w:szCs w:val="21"/>
              </w:rPr>
            </w:pPr>
            <w:r>
              <w:rPr>
                <w:color w:val="000000"/>
                <w:szCs w:val="21"/>
              </w:rPr>
              <w:t>GB/T 16988—2013</w:t>
            </w:r>
          </w:p>
          <w:p w14:paraId="3A5DD50E">
            <w:pPr>
              <w:adjustRightInd w:val="0"/>
              <w:snapToGrid w:val="0"/>
              <w:jc w:val="center"/>
              <w:rPr>
                <w:color w:val="000000"/>
                <w:szCs w:val="21"/>
              </w:rPr>
            </w:pPr>
            <w:r>
              <w:rPr>
                <w:color w:val="000000"/>
                <w:szCs w:val="21"/>
              </w:rPr>
              <w:t>FZ/T 01101—2008</w:t>
            </w:r>
          </w:p>
          <w:p w14:paraId="12203DD7">
            <w:pPr>
              <w:adjustRightInd w:val="0"/>
              <w:snapToGrid w:val="0"/>
              <w:jc w:val="center"/>
              <w:rPr>
                <w:color w:val="000000"/>
                <w:szCs w:val="21"/>
              </w:rPr>
            </w:pPr>
            <w:r>
              <w:rPr>
                <w:color w:val="000000"/>
                <w:szCs w:val="21"/>
              </w:rPr>
              <w:t>FZ/T 01112—2012</w:t>
            </w:r>
          </w:p>
          <w:p w14:paraId="4A401574">
            <w:pPr>
              <w:adjustRightInd w:val="0"/>
              <w:snapToGrid w:val="0"/>
              <w:jc w:val="center"/>
              <w:rPr>
                <w:color w:val="000000"/>
                <w:szCs w:val="21"/>
              </w:rPr>
            </w:pPr>
            <w:r>
              <w:rPr>
                <w:color w:val="000000"/>
                <w:szCs w:val="21"/>
              </w:rPr>
              <w:t>FZ/T 01026—2017</w:t>
            </w:r>
          </w:p>
          <w:p w14:paraId="2141AE5A">
            <w:pPr>
              <w:adjustRightInd w:val="0"/>
              <w:snapToGrid w:val="0"/>
              <w:jc w:val="center"/>
              <w:rPr>
                <w:color w:val="000000"/>
                <w:szCs w:val="21"/>
              </w:rPr>
            </w:pPr>
            <w:r>
              <w:rPr>
                <w:color w:val="000000"/>
                <w:szCs w:val="21"/>
              </w:rPr>
              <w:t>FZ/T 01095—2002</w:t>
            </w:r>
          </w:p>
          <w:p w14:paraId="0C23AB2A">
            <w:pPr>
              <w:adjustRightInd w:val="0"/>
              <w:snapToGrid w:val="0"/>
              <w:jc w:val="center"/>
              <w:rPr>
                <w:color w:val="000000"/>
                <w:szCs w:val="21"/>
              </w:rPr>
            </w:pPr>
            <w:r>
              <w:rPr>
                <w:color w:val="000000"/>
                <w:szCs w:val="21"/>
              </w:rPr>
              <w:t>FZ/T 30003—2009</w:t>
            </w:r>
          </w:p>
          <w:p w14:paraId="087ACB5D">
            <w:pPr>
              <w:snapToGrid w:val="0"/>
              <w:jc w:val="center"/>
              <w:rPr>
                <w:rFonts w:asciiTheme="minorEastAsia" w:hAnsiTheme="minorEastAsia" w:eastAsiaTheme="minorEastAsia"/>
                <w:color w:val="000000"/>
                <w:szCs w:val="21"/>
              </w:rPr>
            </w:pPr>
            <w:r>
              <w:rPr>
                <w:color w:val="000000"/>
                <w:szCs w:val="21"/>
              </w:rPr>
              <w:t>GB/T 40905.1-2021</w:t>
            </w:r>
          </w:p>
        </w:tc>
      </w:tr>
      <w:tr w14:paraId="1EAE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8D0AEA">
            <w:pPr>
              <w:spacing w:line="38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w:t>
            </w:r>
          </w:p>
        </w:tc>
        <w:tc>
          <w:tcPr>
            <w:tcW w:w="4111" w:type="dxa"/>
            <w:vAlign w:val="center"/>
          </w:tcPr>
          <w:p w14:paraId="03875FE7">
            <w:pPr>
              <w:adjustRightInd w:val="0"/>
              <w:snapToGrid w:val="0"/>
              <w:jc w:val="center"/>
              <w:rPr>
                <w:szCs w:val="21"/>
              </w:rPr>
            </w:pPr>
            <w:r>
              <w:rPr>
                <w:rFonts w:hint="eastAsia"/>
                <w:szCs w:val="21"/>
              </w:rPr>
              <w:t>使用说明</w:t>
            </w:r>
          </w:p>
        </w:tc>
        <w:tc>
          <w:tcPr>
            <w:tcW w:w="3544" w:type="dxa"/>
            <w:vAlign w:val="center"/>
          </w:tcPr>
          <w:p w14:paraId="578D7020">
            <w:pPr>
              <w:adjustRightInd w:val="0"/>
              <w:snapToGrid w:val="0"/>
              <w:jc w:val="center"/>
              <w:rPr>
                <w:szCs w:val="21"/>
              </w:rPr>
            </w:pPr>
            <w:r>
              <w:rPr>
                <w:rFonts w:hint="eastAsia"/>
                <w:szCs w:val="21"/>
              </w:rPr>
              <w:t>GB/T 5296.4-2012</w:t>
            </w:r>
          </w:p>
        </w:tc>
      </w:tr>
      <w:tr w14:paraId="2829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3"/>
            <w:vAlign w:val="center"/>
          </w:tcPr>
          <w:p w14:paraId="466F5B2C">
            <w:pPr>
              <w:snapToGri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 仅考核针织类运动服装。</w:t>
            </w:r>
          </w:p>
          <w:p w14:paraId="3F621F96">
            <w:pPr>
              <w:snapToGri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b 仅考核泳装。</w:t>
            </w:r>
          </w:p>
        </w:tc>
      </w:tr>
    </w:tbl>
    <w:p w14:paraId="5D11F8CF">
      <w:pPr>
        <w:snapToGrid w:val="0"/>
        <w:spacing w:line="360" w:lineRule="auto"/>
        <w:rPr>
          <w:rFonts w:asciiTheme="majorEastAsia" w:hAnsiTheme="majorEastAsia" w:eastAsiaTheme="majorEastAsia" w:cstheme="majorEastAsia"/>
          <w:color w:val="000000" w:themeColor="text1"/>
          <w:szCs w:val="21"/>
        </w:rPr>
      </w:pPr>
    </w:p>
    <w:p w14:paraId="5421C784">
      <w:pPr>
        <w:snapToGrid w:val="0"/>
        <w:spacing w:line="360" w:lineRule="auto"/>
        <w:ind w:firstLine="420" w:firstLineChars="200"/>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执行企业标准、团体标准、地方标准的产品，检验项目参照上述内容执行。</w:t>
      </w:r>
    </w:p>
    <w:p w14:paraId="078288AA">
      <w:pPr>
        <w:snapToGrid w:val="0"/>
        <w:spacing w:line="360" w:lineRule="auto"/>
        <w:ind w:firstLine="420" w:firstLineChars="200"/>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凡是注日期的文件，其随后所有的修改单（不包括勘误的内容）或修订版不适用于本细则。凡是不注日期的文件，其最新版本适用于本细则。</w:t>
      </w:r>
    </w:p>
    <w:p w14:paraId="0EF01670">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3  判定规则</w:t>
      </w:r>
    </w:p>
    <w:p w14:paraId="2F5B2419">
      <w:pPr>
        <w:snapToGrid w:val="0"/>
        <w:spacing w:line="360" w:lineRule="auto"/>
        <w:rPr>
          <w:rFonts w:asciiTheme="majorEastAsia" w:hAnsiTheme="majorEastAsia" w:eastAsiaTheme="majorEastAsia" w:cstheme="majorEastAsia"/>
          <w:kern w:val="0"/>
          <w:szCs w:val="21"/>
        </w:rPr>
      </w:pPr>
      <w:r>
        <w:rPr>
          <w:rFonts w:hint="eastAsia" w:ascii="宋体" w:hAnsi="宋体"/>
          <w:color w:val="000000"/>
          <w:szCs w:val="21"/>
        </w:rPr>
        <w:t>3.1依据标准</w:t>
      </w:r>
    </w:p>
    <w:p w14:paraId="529EC0F1">
      <w:pPr>
        <w:snapToGrid w:val="0"/>
        <w:spacing w:line="360" w:lineRule="auto"/>
        <w:ind w:firstLine="417" w:firstLineChars="199"/>
        <w:rPr>
          <w:rFonts w:ascii="宋体" w:hAnsi="宋体" w:cs="Calibri"/>
          <w:szCs w:val="21"/>
        </w:rPr>
      </w:pPr>
      <w:r>
        <w:rPr>
          <w:rFonts w:hint="eastAsia" w:ascii="宋体" w:hAnsi="宋体" w:cs="Calibri"/>
          <w:szCs w:val="21"/>
        </w:rPr>
        <w:t>GB 18401-2010   国家纺织产品基本安全技术规范</w:t>
      </w:r>
    </w:p>
    <w:p w14:paraId="3FF2950F">
      <w:pPr>
        <w:snapToGrid w:val="0"/>
        <w:spacing w:line="360" w:lineRule="auto"/>
        <w:ind w:firstLine="417" w:firstLineChars="199"/>
        <w:rPr>
          <w:rFonts w:ascii="宋体" w:hAnsi="宋体" w:cs="Calibri"/>
          <w:szCs w:val="21"/>
        </w:rPr>
      </w:pPr>
      <w:r>
        <w:rPr>
          <w:rFonts w:hint="eastAsia" w:ascii="宋体" w:hAnsi="宋体" w:cs="Calibri"/>
          <w:szCs w:val="21"/>
        </w:rPr>
        <w:t>GB 31701-2015   婴幼儿及儿童纺织产品安全技术规范</w:t>
      </w:r>
    </w:p>
    <w:p w14:paraId="41A68341">
      <w:pPr>
        <w:snapToGrid w:val="0"/>
        <w:spacing w:line="360" w:lineRule="auto"/>
        <w:ind w:firstLine="403" w:firstLineChars="192"/>
        <w:rPr>
          <w:rFonts w:ascii="宋体" w:hAnsi="宋体"/>
          <w:szCs w:val="21"/>
        </w:rPr>
      </w:pPr>
      <w:r>
        <w:rPr>
          <w:rFonts w:hint="eastAsia" w:ascii="宋体" w:hAnsi="宋体" w:cs="Calibri"/>
          <w:szCs w:val="21"/>
        </w:rPr>
        <w:t>GB/T 29862-2013纺织品 纤维含量的标识</w:t>
      </w:r>
    </w:p>
    <w:p w14:paraId="665DF74C">
      <w:pPr>
        <w:snapToGrid w:val="0"/>
        <w:spacing w:line="360" w:lineRule="auto"/>
        <w:ind w:firstLine="403" w:firstLineChars="192"/>
        <w:rPr>
          <w:rFonts w:ascii="宋体" w:hAnsi="宋体"/>
          <w:szCs w:val="21"/>
        </w:rPr>
      </w:pPr>
      <w:r>
        <w:rPr>
          <w:rFonts w:hint="eastAsia" w:ascii="宋体" w:hAnsi="宋体"/>
          <w:szCs w:val="21"/>
        </w:rPr>
        <w:t>GB/T 21980  专业运动服装和防护用品通用技术规范</w:t>
      </w:r>
    </w:p>
    <w:p w14:paraId="645372FC">
      <w:pPr>
        <w:snapToGrid w:val="0"/>
        <w:spacing w:line="360" w:lineRule="auto"/>
        <w:ind w:firstLine="403" w:firstLineChars="192"/>
        <w:rPr>
          <w:rFonts w:ascii="宋体" w:hAnsi="宋体"/>
          <w:szCs w:val="21"/>
        </w:rPr>
      </w:pPr>
      <w:r>
        <w:rPr>
          <w:rFonts w:hint="eastAsia" w:ascii="宋体" w:hAnsi="宋体"/>
          <w:szCs w:val="21"/>
        </w:rPr>
        <w:t>GB/T 22849-2024  针织T恤衫</w:t>
      </w:r>
    </w:p>
    <w:p w14:paraId="26FFC095">
      <w:pPr>
        <w:snapToGrid w:val="0"/>
        <w:spacing w:line="360" w:lineRule="auto"/>
        <w:ind w:firstLine="403" w:firstLineChars="192"/>
        <w:rPr>
          <w:rFonts w:ascii="宋体" w:hAnsi="宋体"/>
          <w:szCs w:val="21"/>
        </w:rPr>
      </w:pPr>
      <w:r>
        <w:rPr>
          <w:rFonts w:hint="eastAsia" w:ascii="宋体" w:hAnsi="宋体"/>
          <w:szCs w:val="21"/>
        </w:rPr>
        <w:t xml:space="preserve">GB/T 22853-2019 </w:t>
      </w:r>
      <w:r>
        <w:rPr>
          <w:rFonts w:ascii="宋体" w:hAnsi="宋体"/>
          <w:szCs w:val="21"/>
        </w:rPr>
        <w:t xml:space="preserve"> </w:t>
      </w:r>
      <w:r>
        <w:rPr>
          <w:rFonts w:hint="eastAsia" w:ascii="宋体" w:hAnsi="宋体"/>
          <w:szCs w:val="21"/>
        </w:rPr>
        <w:t xml:space="preserve">针织运动服 </w:t>
      </w:r>
    </w:p>
    <w:p w14:paraId="4DE07A30">
      <w:pPr>
        <w:snapToGrid w:val="0"/>
        <w:spacing w:line="360" w:lineRule="auto"/>
        <w:ind w:firstLine="403" w:firstLineChars="192"/>
        <w:rPr>
          <w:rFonts w:ascii="宋体" w:hAnsi="宋体"/>
          <w:szCs w:val="21"/>
        </w:rPr>
      </w:pPr>
      <w:r>
        <w:rPr>
          <w:rFonts w:hint="eastAsia" w:ascii="宋体" w:hAnsi="宋体"/>
          <w:szCs w:val="21"/>
        </w:rPr>
        <w:t>GB/T 29869-2013  针织专业运动服装通用技术要求 </w:t>
      </w:r>
    </w:p>
    <w:p w14:paraId="324D651F">
      <w:pPr>
        <w:snapToGrid w:val="0"/>
        <w:spacing w:line="360" w:lineRule="auto"/>
        <w:ind w:firstLine="403" w:firstLineChars="192"/>
        <w:rPr>
          <w:rFonts w:ascii="宋体" w:hAnsi="宋体"/>
          <w:szCs w:val="21"/>
        </w:rPr>
      </w:pPr>
      <w:r>
        <w:rPr>
          <w:rFonts w:ascii="宋体" w:hAnsi="宋体"/>
          <w:szCs w:val="21"/>
        </w:rPr>
        <w:t>FZ/T 81007—2012 单、夹服装</w:t>
      </w:r>
    </w:p>
    <w:p w14:paraId="0D3310DF">
      <w:pPr>
        <w:snapToGrid w:val="0"/>
        <w:spacing w:line="360" w:lineRule="auto"/>
        <w:ind w:firstLine="403" w:firstLineChars="192"/>
        <w:rPr>
          <w:rFonts w:ascii="宋体" w:hAnsi="宋体"/>
          <w:szCs w:val="21"/>
        </w:rPr>
      </w:pPr>
      <w:r>
        <w:rPr>
          <w:rFonts w:hint="eastAsia" w:ascii="宋体" w:hAnsi="宋体"/>
          <w:szCs w:val="21"/>
        </w:rPr>
        <w:t xml:space="preserve">FZ/T 81007-2022 </w:t>
      </w:r>
      <w:r>
        <w:rPr>
          <w:rFonts w:ascii="宋体" w:hAnsi="宋体"/>
          <w:szCs w:val="21"/>
        </w:rPr>
        <w:t xml:space="preserve"> </w:t>
      </w:r>
      <w:r>
        <w:rPr>
          <w:rFonts w:hint="eastAsia" w:ascii="宋体" w:hAnsi="宋体"/>
          <w:szCs w:val="21"/>
        </w:rPr>
        <w:t>单、夹服装</w:t>
      </w:r>
    </w:p>
    <w:p w14:paraId="32C6BA3C">
      <w:pPr>
        <w:snapToGrid w:val="0"/>
        <w:spacing w:line="360" w:lineRule="auto"/>
        <w:ind w:firstLine="403" w:firstLineChars="192"/>
        <w:rPr>
          <w:rFonts w:ascii="宋体" w:hAnsi="宋体"/>
          <w:szCs w:val="21"/>
        </w:rPr>
      </w:pPr>
      <w:r>
        <w:rPr>
          <w:rFonts w:ascii="宋体" w:hAnsi="宋体"/>
          <w:szCs w:val="21"/>
        </w:rPr>
        <w:t>FZ/T 73013</w:t>
      </w:r>
      <w:r>
        <w:rPr>
          <w:rFonts w:hint="eastAsia" w:ascii="宋体" w:hAnsi="宋体"/>
          <w:szCs w:val="21"/>
        </w:rPr>
        <w:t>-2017 针织泳装</w:t>
      </w:r>
    </w:p>
    <w:p w14:paraId="1BED36E0">
      <w:pPr>
        <w:snapToGrid w:val="0"/>
        <w:spacing w:line="360" w:lineRule="auto"/>
        <w:ind w:firstLine="420" w:firstLineChars="200"/>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相关的法律、行政法规、部门规章、规范性文件</w:t>
      </w:r>
    </w:p>
    <w:p w14:paraId="609F1647">
      <w:pPr>
        <w:spacing w:line="360" w:lineRule="auto"/>
        <w:ind w:firstLine="420" w:firstLineChars="200"/>
        <w:rPr>
          <w:rFonts w:asciiTheme="majorEastAsia" w:hAnsiTheme="majorEastAsia" w:eastAsiaTheme="majorEastAsia" w:cstheme="majorEastAsia"/>
          <w:color w:val="000000" w:themeColor="text1"/>
          <w:szCs w:val="21"/>
        </w:rPr>
      </w:pPr>
      <w:r>
        <w:rPr>
          <w:color w:val="000000"/>
          <w:szCs w:val="21"/>
        </w:rPr>
        <w:t>现行有效的企业标准、团体标准、地方标准及产品明示质量要求</w:t>
      </w:r>
    </w:p>
    <w:p w14:paraId="7D539657">
      <w:pPr>
        <w:snapToGrid w:val="0"/>
        <w:spacing w:line="36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3.2判定原则</w:t>
      </w:r>
    </w:p>
    <w:p w14:paraId="63EFDD52">
      <w:pPr>
        <w:snapToGrid w:val="0"/>
        <w:spacing w:line="440" w:lineRule="exact"/>
        <w:rPr>
          <w:rFonts w:ascii="宋体" w:hAnsi="宋体"/>
          <w:color w:val="000000"/>
          <w:szCs w:val="21"/>
        </w:rPr>
      </w:pPr>
      <w:r>
        <w:rPr>
          <w:rFonts w:hint="eastAsia" w:ascii="宋体" w:hAnsi="宋体"/>
          <w:color w:val="000000"/>
          <w:szCs w:val="21"/>
        </w:rPr>
        <w:t>3.2判定原则</w:t>
      </w:r>
    </w:p>
    <w:p w14:paraId="553D95D5">
      <w:pPr>
        <w:snapToGrid w:val="0"/>
        <w:spacing w:line="440" w:lineRule="exact"/>
        <w:ind w:firstLine="424" w:firstLineChars="202"/>
        <w:rPr>
          <w:rFonts w:ascii="宋体" w:hAnsi="宋体" w:cs="Calibri"/>
          <w:szCs w:val="21"/>
        </w:rPr>
      </w:pPr>
      <w:r>
        <w:rPr>
          <w:rFonts w:ascii="宋体" w:hAnsi="宋体" w:cs="Calibri"/>
          <w:szCs w:val="21"/>
        </w:rPr>
        <w:t>经检验，检验项目全部合格，判定为被抽查产品</w:t>
      </w:r>
      <w:r>
        <w:rPr>
          <w:rFonts w:hint="eastAsia" w:ascii="宋体" w:hAnsi="宋体" w:cs="Calibri"/>
          <w:szCs w:val="21"/>
        </w:rPr>
        <w:t>所检项目未发现不</w:t>
      </w:r>
      <w:r>
        <w:rPr>
          <w:rFonts w:ascii="宋体" w:hAnsi="宋体" w:cs="Calibri"/>
          <w:szCs w:val="21"/>
        </w:rPr>
        <w:t>合格；检验项目中任一项或一项以上不合格，判定为被抽查产品不合格。</w:t>
      </w:r>
    </w:p>
    <w:p w14:paraId="5F52C40C">
      <w:pPr>
        <w:snapToGrid w:val="0"/>
        <w:spacing w:line="440" w:lineRule="exact"/>
        <w:ind w:firstLine="424" w:firstLineChars="202"/>
        <w:rPr>
          <w:rFonts w:ascii="宋体" w:hAnsi="宋体" w:cs="Calibri"/>
          <w:szCs w:val="21"/>
        </w:rPr>
      </w:pPr>
      <w:r>
        <w:rPr>
          <w:rFonts w:ascii="宋体" w:hAnsi="宋体" w:cs="Calibri"/>
          <w:szCs w:val="21"/>
        </w:rPr>
        <w:t>若被检产品明示的质量要求高于本细则中检验项目依据的标准要求时，应按被检产品明示的质量要求判定。</w:t>
      </w:r>
    </w:p>
    <w:p w14:paraId="3C63010E">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若被检产品明示的质量要求低于本细则中检验项目依据的强制性标准要求时，应按照强制性标准要求判定。</w:t>
      </w:r>
    </w:p>
    <w:p w14:paraId="20A1DDBB">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若被检产品明示的质量要求低于或包含本细则中检验项目依据的推荐性标准要求时，应以被检产品明示的质量要求判定。</w:t>
      </w:r>
    </w:p>
    <w:p w14:paraId="2805893A">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若被检产品明示的质量要求缺少本细则中检验项目依据的强制性标准要求时，应按照强制性标准要求判定。</w:t>
      </w:r>
    </w:p>
    <w:p w14:paraId="00B5B485">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若被检产品明示的质量要求缺少本细则中检验项目依据的推荐性标准要求时，该项目不参与判定。</w:t>
      </w:r>
    </w:p>
    <w:p w14:paraId="210BA77F">
      <w:pPr>
        <w:snapToGrid w:val="0"/>
        <w:spacing w:line="360" w:lineRule="auto"/>
        <w:ind w:firstLine="420" w:firstLineChars="200"/>
        <w:rPr>
          <w:rFonts w:asciiTheme="majorEastAsia" w:hAnsiTheme="majorEastAsia" w:eastAsiaTheme="majorEastAsia" w:cstheme="majorEastAsia"/>
          <w:color w:val="000000"/>
          <w:szCs w:val="21"/>
        </w:rPr>
      </w:pPr>
    </w:p>
    <w:p w14:paraId="7FB5C621">
      <w:pPr>
        <w:snapToGrid w:val="0"/>
        <w:spacing w:line="360" w:lineRule="auto"/>
        <w:rPr>
          <w:rFonts w:asciiTheme="majorEastAsia" w:hAnsiTheme="majorEastAsia" w:eastAsiaTheme="majorEastAsia" w:cstheme="majorEastAsia"/>
          <w:color w:val="000000"/>
          <w:szCs w:val="21"/>
        </w:rPr>
      </w:pPr>
    </w:p>
    <w:sectPr>
      <w:headerReference r:id="rId4" w:type="first"/>
      <w:footerReference r:id="rId6" w:type="first"/>
      <w:headerReference r:id="rId3" w:type="default"/>
      <w:footerReference r:id="rId5" w:type="default"/>
      <w:pgSz w:w="11906" w:h="16838"/>
      <w:pgMar w:top="1440" w:right="1797" w:bottom="1440" w:left="1797" w:header="386"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36041">
    <w:pPr>
      <w:pStyle w:val="2"/>
      <w:jc w:val="cente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2562">
    <w:pPr>
      <w:pStyle w:val="2"/>
      <w:jc w:val="cente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13C8">
    <w:pPr>
      <w:pStyle w:val="3"/>
      <w:pBdr>
        <w:bottom w:val="none" w:color="auto" w:sz="0" w:space="1"/>
      </w:pBdr>
      <w:rPr>
        <w:rFonts w:eastAsia="黑体"/>
        <w:color w:val="FF0000"/>
        <w:sz w:val="21"/>
        <w:szCs w:val="21"/>
      </w:rPr>
    </w:pPr>
    <w:r>
      <w:rPr>
        <w:rFonts w:hint="eastAsia"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CA5A">
    <w:pPr>
      <w:pStyle w:val="3"/>
      <w:pBdr>
        <w:bottom w:val="none" w:color="auto" w:sz="0" w:space="1"/>
      </w:pBdr>
      <w:ind w:right="180"/>
      <w:rPr>
        <w:sz w:val="21"/>
        <w:szCs w:val="21"/>
      </w:rPr>
    </w:pPr>
    <w:r>
      <w:rPr>
        <w:rFonts w:hint="eastAsia" w:eastAsia="黑体"/>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TNkNGE0ZmEwMTQ1OTU5NTUzOGVjNzNlNTRhM2YifQ=="/>
    <w:docVar w:name="KSO_WPS_MARK_KEY" w:val="a5a32905-0095-4341-89fb-1b3a5f5fc220"/>
  </w:docVars>
  <w:rsids>
    <w:rsidRoot w:val="009014C0"/>
    <w:rsid w:val="00006259"/>
    <w:rsid w:val="00072A9A"/>
    <w:rsid w:val="00074B8F"/>
    <w:rsid w:val="000B33D4"/>
    <w:rsid w:val="000E7CED"/>
    <w:rsid w:val="00105D43"/>
    <w:rsid w:val="00126079"/>
    <w:rsid w:val="001E77FF"/>
    <w:rsid w:val="001F76DD"/>
    <w:rsid w:val="0021304B"/>
    <w:rsid w:val="00214CA8"/>
    <w:rsid w:val="00260220"/>
    <w:rsid w:val="00273228"/>
    <w:rsid w:val="00287C1C"/>
    <w:rsid w:val="00290000"/>
    <w:rsid w:val="002B5793"/>
    <w:rsid w:val="002E6E38"/>
    <w:rsid w:val="002F564E"/>
    <w:rsid w:val="00321791"/>
    <w:rsid w:val="00333E4B"/>
    <w:rsid w:val="0034639A"/>
    <w:rsid w:val="003F0E76"/>
    <w:rsid w:val="003F71F7"/>
    <w:rsid w:val="004425C1"/>
    <w:rsid w:val="00460370"/>
    <w:rsid w:val="004C65D7"/>
    <w:rsid w:val="005328F1"/>
    <w:rsid w:val="00537DA1"/>
    <w:rsid w:val="005D4F22"/>
    <w:rsid w:val="005E0098"/>
    <w:rsid w:val="006029F1"/>
    <w:rsid w:val="006302D6"/>
    <w:rsid w:val="006308C7"/>
    <w:rsid w:val="006437A6"/>
    <w:rsid w:val="006441A8"/>
    <w:rsid w:val="006843EC"/>
    <w:rsid w:val="00695181"/>
    <w:rsid w:val="006E7BF3"/>
    <w:rsid w:val="00792984"/>
    <w:rsid w:val="007D5DDA"/>
    <w:rsid w:val="007E79FA"/>
    <w:rsid w:val="0082187D"/>
    <w:rsid w:val="00826713"/>
    <w:rsid w:val="00865216"/>
    <w:rsid w:val="00870B7C"/>
    <w:rsid w:val="008950B7"/>
    <w:rsid w:val="0089545C"/>
    <w:rsid w:val="008977C1"/>
    <w:rsid w:val="008C7B27"/>
    <w:rsid w:val="009014C0"/>
    <w:rsid w:val="00931BFC"/>
    <w:rsid w:val="00946F2F"/>
    <w:rsid w:val="00953CC0"/>
    <w:rsid w:val="00963C88"/>
    <w:rsid w:val="0099272F"/>
    <w:rsid w:val="00A7403F"/>
    <w:rsid w:val="00A87ED1"/>
    <w:rsid w:val="00A959CF"/>
    <w:rsid w:val="00AA05AB"/>
    <w:rsid w:val="00B62139"/>
    <w:rsid w:val="00B8153B"/>
    <w:rsid w:val="00B83971"/>
    <w:rsid w:val="00BD0713"/>
    <w:rsid w:val="00C20CD3"/>
    <w:rsid w:val="00C57E0C"/>
    <w:rsid w:val="00CA2408"/>
    <w:rsid w:val="00CB0737"/>
    <w:rsid w:val="00D055D7"/>
    <w:rsid w:val="00D11307"/>
    <w:rsid w:val="00DD62A7"/>
    <w:rsid w:val="00E85302"/>
    <w:rsid w:val="00E86141"/>
    <w:rsid w:val="00EA2021"/>
    <w:rsid w:val="00F04B91"/>
    <w:rsid w:val="00F12353"/>
    <w:rsid w:val="00F3694C"/>
    <w:rsid w:val="00FA3115"/>
    <w:rsid w:val="00FA6458"/>
    <w:rsid w:val="00FB4274"/>
    <w:rsid w:val="00FD5AFC"/>
    <w:rsid w:val="00FF2725"/>
    <w:rsid w:val="04723764"/>
    <w:rsid w:val="0A7D3494"/>
    <w:rsid w:val="0BB00E80"/>
    <w:rsid w:val="0DCC1438"/>
    <w:rsid w:val="0EAE2AB8"/>
    <w:rsid w:val="100837B8"/>
    <w:rsid w:val="18973165"/>
    <w:rsid w:val="1C935D88"/>
    <w:rsid w:val="21147779"/>
    <w:rsid w:val="218B3107"/>
    <w:rsid w:val="23524BE3"/>
    <w:rsid w:val="24430540"/>
    <w:rsid w:val="24E41143"/>
    <w:rsid w:val="302A7AE0"/>
    <w:rsid w:val="31251EAA"/>
    <w:rsid w:val="3375452A"/>
    <w:rsid w:val="3C3B7F41"/>
    <w:rsid w:val="3F280876"/>
    <w:rsid w:val="3FA21AB2"/>
    <w:rsid w:val="41C00326"/>
    <w:rsid w:val="45652E61"/>
    <w:rsid w:val="47A83AD6"/>
    <w:rsid w:val="48BA01F7"/>
    <w:rsid w:val="57C069B0"/>
    <w:rsid w:val="5B86383B"/>
    <w:rsid w:val="691508FB"/>
    <w:rsid w:val="6C4D275C"/>
    <w:rsid w:val="6C653DE6"/>
    <w:rsid w:val="6E272602"/>
    <w:rsid w:val="706334BA"/>
    <w:rsid w:val="78F04642"/>
    <w:rsid w:val="7AE430C6"/>
    <w:rsid w:val="7D591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1"/>
    <w:qFormat/>
    <w:uiPriority w:val="0"/>
    <w:pPr>
      <w:snapToGrid w:val="0"/>
      <w:spacing w:line="440" w:lineRule="exact"/>
      <w:ind w:firstLine="420" w:firstLineChars="200"/>
    </w:pPr>
    <w:rPr>
      <w:rFonts w:ascii="宋体" w:hAnsi="宋体"/>
      <w:szCs w:val="21"/>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0"/>
    <w:rPr>
      <w:sz w:val="18"/>
      <w:szCs w:val="18"/>
    </w:rPr>
  </w:style>
  <w:style w:type="character" w:customStyle="1" w:styleId="11">
    <w:name w:val="正文文本缩进 3 Char"/>
    <w:basedOn w:val="7"/>
    <w:link w:val="4"/>
    <w:qFormat/>
    <w:uiPriority w:val="0"/>
    <w:rPr>
      <w:rFonts w:ascii="宋体" w:hAnsi="宋体"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944</Words>
  <Characters>1547</Characters>
  <Lines>12</Lines>
  <Paragraphs>3</Paragraphs>
  <TotalTime>213</TotalTime>
  <ScaleCrop>false</ScaleCrop>
  <LinksUpToDate>false</LinksUpToDate>
  <CharactersWithSpaces>1630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2026-04-28T02:55:00Z</dcterms:created>
  <dc:creator>刘华凯</dc:creator>
  <cp:lastModifiedBy>信号灯</cp:lastModifiedBy>
  <dcterms:modified xsi:type="dcterms:W3CDTF">2026-04-29T08:25:39Z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FC6F8DE9008D42A4A0D6A64053D5CB48_13</vt:lpwstr>
  </property>
</Properties>
</file>