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8E42F">
      <w:pPr>
        <w:snapToGrid w:val="0"/>
        <w:spacing w:line="360" w:lineRule="auto"/>
        <w:jc w:val="center"/>
        <w:rPr>
          <w:rFonts w:hint="eastAsia" w:ascii="方正小标宋简体" w:hAnsi="仿宋" w:eastAsia="方正小标宋简体" w:cs="方正仿宋简体"/>
          <w:color w:val="000000"/>
          <w:sz w:val="32"/>
          <w:szCs w:val="32"/>
        </w:rPr>
      </w:pPr>
      <w:bookmarkStart w:id="0" w:name="_GoBack"/>
      <w:bookmarkEnd w:id="0"/>
      <w:r>
        <w:rPr>
          <w:rFonts w:hint="eastAsia" w:ascii="方正小标宋简体" w:hAnsi="仿宋" w:eastAsia="方正小标宋简体" w:cs="方正仿宋简体"/>
          <w:color w:val="000000"/>
          <w:sz w:val="32"/>
          <w:szCs w:val="32"/>
        </w:rPr>
        <w:t>青岛市汽车内饰材料产品质量监督抽查实施细则</w:t>
      </w:r>
    </w:p>
    <w:p w14:paraId="6F157512">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（2026年）</w:t>
      </w:r>
    </w:p>
    <w:p w14:paraId="298C5BE9">
      <w:pPr>
        <w:snapToGrid w:val="0"/>
        <w:spacing w:line="440" w:lineRule="exact"/>
        <w:ind w:firstLine="359" w:firstLineChars="171"/>
        <w:rPr>
          <w:rFonts w:ascii="宋体" w:hAnsi="宋体"/>
          <w:color w:val="000000"/>
          <w:szCs w:val="21"/>
        </w:rPr>
      </w:pPr>
    </w:p>
    <w:p w14:paraId="1FA51C26">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14:paraId="07037E44">
      <w:pPr>
        <w:spacing w:line="460" w:lineRule="exact"/>
        <w:ind w:firstLine="420" w:firstLineChars="200"/>
        <w:rPr>
          <w:rFonts w:ascii="宋体" w:hAnsi="宋体" w:cs="Calibri"/>
          <w:color w:val="000000"/>
          <w:szCs w:val="21"/>
        </w:rPr>
      </w:pPr>
      <w:r>
        <w:rPr>
          <w:rFonts w:hint="eastAsia" w:ascii="宋体" w:hAnsi="宋体" w:cs="Calibri"/>
          <w:color w:val="000000"/>
          <w:szCs w:val="21"/>
        </w:rPr>
        <w:t>以随机方式在被抽样生产者、销售者的待销产品中抽取样品。</w:t>
      </w:r>
    </w:p>
    <w:p w14:paraId="2806D9A2">
      <w:pPr>
        <w:snapToGrid w:val="0"/>
        <w:spacing w:line="440" w:lineRule="exact"/>
        <w:ind w:firstLine="420" w:firstLineChars="200"/>
        <w:rPr>
          <w:rFonts w:ascii="宋体" w:hAnsi="宋体"/>
          <w:color w:val="000000"/>
          <w:szCs w:val="21"/>
        </w:rPr>
      </w:pPr>
      <w:r>
        <w:rPr>
          <w:rFonts w:hint="eastAsia" w:ascii="宋体" w:hAnsi="宋体"/>
          <w:color w:val="000000"/>
          <w:szCs w:val="21"/>
        </w:rPr>
        <w:t>抽样基数：抽查样品基数满足抽样数量即可。</w:t>
      </w:r>
    </w:p>
    <w:p w14:paraId="76889C27">
      <w:pPr>
        <w:snapToGrid w:val="0"/>
        <w:spacing w:line="440" w:lineRule="exact"/>
        <w:ind w:firstLine="420" w:firstLineChars="200"/>
        <w:rPr>
          <w:rFonts w:ascii="宋体" w:hAnsi="宋体"/>
          <w:color w:val="000000"/>
          <w:szCs w:val="21"/>
        </w:rPr>
      </w:pPr>
      <w:r>
        <w:rPr>
          <w:rFonts w:hint="eastAsia" w:ascii="宋体" w:hAnsi="宋体"/>
          <w:color w:val="000000"/>
          <w:szCs w:val="21"/>
        </w:rPr>
        <w:t>抽样数量：在确认的汽车内饰材料产品中随机截取样品 10 块，其中 5 块作为检验样品，5 块作为备用样品。如果汽车内饰材料沿不同方向有不同燃烧速度，则应在不同方向分别截取样品 10 块，其中 5 块作为检验样品，5 块作为备用样品。一般要求每块样品的尺寸为 356mm×100mm。</w:t>
      </w:r>
    </w:p>
    <w:p w14:paraId="1B5B1602">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14:paraId="3E565531">
      <w:pPr>
        <w:snapToGrid w:val="0"/>
        <w:spacing w:line="440" w:lineRule="exact"/>
        <w:jc w:val="center"/>
        <w:rPr>
          <w:rFonts w:hint="eastAsia" w:ascii="宋体" w:hAnsi="宋体"/>
          <w:color w:val="000000"/>
          <w:szCs w:val="21"/>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2828"/>
      </w:tblGrid>
      <w:tr w14:paraId="59B9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41D8BED3">
            <w:pPr>
              <w:snapToGrid w:val="0"/>
              <w:spacing w:line="440" w:lineRule="exact"/>
              <w:jc w:val="center"/>
              <w:rPr>
                <w:rFonts w:ascii="宋体" w:hAnsi="宋体"/>
                <w:color w:val="000000"/>
                <w:szCs w:val="21"/>
              </w:rPr>
            </w:pPr>
            <w:r>
              <w:rPr>
                <w:rFonts w:hint="eastAsia" w:ascii="宋体" w:hAnsi="宋体"/>
                <w:color w:val="000000"/>
                <w:szCs w:val="21"/>
              </w:rPr>
              <w:t>序号</w:t>
            </w:r>
          </w:p>
        </w:tc>
        <w:tc>
          <w:tcPr>
            <w:tcW w:w="2693" w:type="dxa"/>
          </w:tcPr>
          <w:p w14:paraId="262F1C28">
            <w:pPr>
              <w:snapToGrid w:val="0"/>
              <w:spacing w:line="440" w:lineRule="exact"/>
              <w:jc w:val="center"/>
              <w:rPr>
                <w:rFonts w:ascii="宋体" w:hAnsi="宋体"/>
                <w:color w:val="000000"/>
                <w:szCs w:val="21"/>
              </w:rPr>
            </w:pPr>
            <w:r>
              <w:rPr>
                <w:rFonts w:hint="eastAsia" w:ascii="宋体" w:hAnsi="宋体"/>
                <w:color w:val="000000"/>
                <w:szCs w:val="21"/>
              </w:rPr>
              <w:t>检验项目</w:t>
            </w:r>
          </w:p>
        </w:tc>
        <w:tc>
          <w:tcPr>
            <w:tcW w:w="2828" w:type="dxa"/>
          </w:tcPr>
          <w:p w14:paraId="66782851">
            <w:pPr>
              <w:snapToGrid w:val="0"/>
              <w:spacing w:line="440" w:lineRule="exact"/>
              <w:jc w:val="center"/>
              <w:rPr>
                <w:rFonts w:ascii="宋体" w:hAnsi="宋体"/>
                <w:color w:val="000000"/>
                <w:szCs w:val="21"/>
              </w:rPr>
            </w:pPr>
            <w:r>
              <w:rPr>
                <w:rFonts w:hint="eastAsia" w:ascii="宋体" w:hAnsi="宋体"/>
                <w:color w:val="000000"/>
                <w:szCs w:val="21"/>
              </w:rPr>
              <w:t>检验方法</w:t>
            </w:r>
          </w:p>
        </w:tc>
      </w:tr>
      <w:tr w14:paraId="586F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00C591E">
            <w:pPr>
              <w:snapToGrid w:val="0"/>
              <w:spacing w:line="440" w:lineRule="exact"/>
              <w:jc w:val="center"/>
              <w:rPr>
                <w:rFonts w:ascii="宋体" w:hAnsi="宋体"/>
                <w:color w:val="000000"/>
                <w:szCs w:val="21"/>
              </w:rPr>
            </w:pPr>
            <w:r>
              <w:rPr>
                <w:rFonts w:hint="eastAsia" w:ascii="宋体" w:hAnsi="宋体"/>
                <w:color w:val="000000"/>
                <w:szCs w:val="21"/>
              </w:rPr>
              <w:t>1</w:t>
            </w:r>
          </w:p>
        </w:tc>
        <w:tc>
          <w:tcPr>
            <w:tcW w:w="2693" w:type="dxa"/>
          </w:tcPr>
          <w:p w14:paraId="16E7A5F1">
            <w:pPr>
              <w:snapToGrid w:val="0"/>
              <w:spacing w:line="440" w:lineRule="exact"/>
              <w:jc w:val="center"/>
              <w:rPr>
                <w:rFonts w:ascii="宋体" w:hAnsi="宋体"/>
                <w:color w:val="000000"/>
                <w:szCs w:val="21"/>
              </w:rPr>
            </w:pPr>
            <w:r>
              <w:rPr>
                <w:rFonts w:hint="eastAsia"/>
                <w:color w:val="000000"/>
                <w:szCs w:val="21"/>
              </w:rPr>
              <w:t>燃烧特性</w:t>
            </w:r>
          </w:p>
        </w:tc>
        <w:tc>
          <w:tcPr>
            <w:tcW w:w="2828" w:type="dxa"/>
          </w:tcPr>
          <w:p w14:paraId="68B84091">
            <w:pPr>
              <w:snapToGrid w:val="0"/>
              <w:spacing w:line="440" w:lineRule="exact"/>
              <w:jc w:val="center"/>
              <w:rPr>
                <w:rFonts w:ascii="宋体" w:hAnsi="宋体"/>
                <w:color w:val="000000"/>
                <w:szCs w:val="21"/>
              </w:rPr>
            </w:pPr>
            <w:r>
              <w:rPr>
                <w:rFonts w:ascii="宋体" w:hAnsi="宋体"/>
                <w:color w:val="000000"/>
                <w:szCs w:val="21"/>
              </w:rPr>
              <w:t>GB 8410-2006</w:t>
            </w:r>
          </w:p>
          <w:p w14:paraId="44B377CD">
            <w:pPr>
              <w:snapToGrid w:val="0"/>
              <w:spacing w:line="440" w:lineRule="exact"/>
              <w:jc w:val="center"/>
              <w:rPr>
                <w:rFonts w:ascii="宋体" w:hAnsi="宋体"/>
                <w:color w:val="000000"/>
                <w:szCs w:val="21"/>
              </w:rPr>
            </w:pPr>
            <w:r>
              <w:rPr>
                <w:rFonts w:ascii="宋体" w:hAnsi="宋体"/>
                <w:color w:val="000000"/>
                <w:szCs w:val="21"/>
              </w:rPr>
              <w:t>GB 38262-2019</w:t>
            </w:r>
          </w:p>
          <w:p w14:paraId="0FAC97CC">
            <w:pPr>
              <w:snapToGrid w:val="0"/>
              <w:spacing w:line="440" w:lineRule="exact"/>
              <w:jc w:val="center"/>
              <w:rPr>
                <w:rFonts w:ascii="宋体" w:hAnsi="宋体"/>
                <w:color w:val="000000"/>
                <w:szCs w:val="21"/>
              </w:rPr>
            </w:pPr>
            <w:r>
              <w:rPr>
                <w:rFonts w:ascii="宋体" w:hAnsi="宋体"/>
                <w:color w:val="000000"/>
                <w:szCs w:val="21"/>
              </w:rPr>
              <w:t>GB 7258-2017</w:t>
            </w:r>
          </w:p>
        </w:tc>
      </w:tr>
    </w:tbl>
    <w:p w14:paraId="3DBFD1D9">
      <w:pPr>
        <w:snapToGrid w:val="0"/>
        <w:spacing w:line="440" w:lineRule="exact"/>
        <w:ind w:firstLine="359" w:firstLineChars="171"/>
        <w:rPr>
          <w:color w:val="000000"/>
          <w:szCs w:val="21"/>
        </w:rPr>
      </w:pPr>
      <w:r>
        <w:rPr>
          <w:color w:val="000000"/>
          <w:szCs w:val="21"/>
        </w:rPr>
        <w:t>执行企业标准、团体标准、地方标准的产品，检验项目参照上述内容执行。</w:t>
      </w:r>
    </w:p>
    <w:p w14:paraId="2156192C">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194671CC">
      <w:pPr>
        <w:snapToGrid w:val="0"/>
        <w:spacing w:line="440" w:lineRule="exact"/>
        <w:ind w:firstLine="359" w:firstLineChars="171"/>
        <w:rPr>
          <w:rFonts w:ascii="宋体" w:hAnsi="宋体"/>
          <w:color w:val="000000"/>
          <w:szCs w:val="21"/>
        </w:rPr>
      </w:pPr>
    </w:p>
    <w:p w14:paraId="530FC449">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2779211E">
      <w:pPr>
        <w:snapToGrid w:val="0"/>
        <w:spacing w:line="440" w:lineRule="exact"/>
        <w:rPr>
          <w:rFonts w:ascii="宋体" w:hAnsi="宋体"/>
          <w:color w:val="000000"/>
          <w:szCs w:val="21"/>
        </w:rPr>
      </w:pPr>
      <w:r>
        <w:rPr>
          <w:rFonts w:hint="eastAsia" w:ascii="宋体" w:hAnsi="宋体"/>
          <w:color w:val="000000"/>
          <w:szCs w:val="21"/>
        </w:rPr>
        <w:t>3.1依据标准</w:t>
      </w:r>
    </w:p>
    <w:p w14:paraId="71288E8B">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相关标准</w:t>
      </w:r>
    </w:p>
    <w:p w14:paraId="34C4D611">
      <w:pPr>
        <w:snapToGrid w:val="0"/>
        <w:spacing w:line="440" w:lineRule="exact"/>
        <w:ind w:firstLine="420" w:firstLineChars="200"/>
        <w:rPr>
          <w:rFonts w:ascii="宋体" w:hAnsi="宋体"/>
          <w:color w:val="000000"/>
          <w:szCs w:val="21"/>
        </w:rPr>
      </w:pPr>
      <w:r>
        <w:rPr>
          <w:rFonts w:hint="eastAsia" w:ascii="宋体" w:hAnsi="宋体"/>
          <w:color w:val="000000"/>
          <w:szCs w:val="21"/>
        </w:rPr>
        <w:t>GB 8410-2006 汽车内饰材料的燃烧特性</w:t>
      </w:r>
    </w:p>
    <w:p w14:paraId="7C10F98C">
      <w:pPr>
        <w:snapToGrid w:val="0"/>
        <w:spacing w:line="440" w:lineRule="exact"/>
        <w:ind w:firstLine="420" w:firstLineChars="200"/>
        <w:rPr>
          <w:rFonts w:ascii="宋体" w:hAnsi="宋体"/>
          <w:color w:val="000000"/>
          <w:szCs w:val="21"/>
        </w:rPr>
      </w:pPr>
      <w:r>
        <w:rPr>
          <w:rFonts w:hint="eastAsia" w:ascii="宋体" w:hAnsi="宋体"/>
          <w:color w:val="000000"/>
          <w:szCs w:val="21"/>
        </w:rPr>
        <w:t>GB 7258-2017 机动车运行安全技术条件</w:t>
      </w:r>
    </w:p>
    <w:p w14:paraId="002D1C9C">
      <w:pPr>
        <w:snapToGrid w:val="0"/>
        <w:spacing w:line="440" w:lineRule="exact"/>
        <w:ind w:firstLine="420" w:firstLineChars="200"/>
        <w:rPr>
          <w:rFonts w:ascii="宋体" w:hAnsi="宋体"/>
          <w:color w:val="000000"/>
          <w:szCs w:val="21"/>
        </w:rPr>
      </w:pPr>
      <w:r>
        <w:rPr>
          <w:rFonts w:hint="eastAsia" w:ascii="宋体" w:hAnsi="宋体"/>
          <w:color w:val="000000"/>
          <w:szCs w:val="21"/>
        </w:rPr>
        <w:t>GB 38262-2019 客车内饰材料的燃烧特性</w:t>
      </w:r>
    </w:p>
    <w:p w14:paraId="5763E96E">
      <w:pPr>
        <w:snapToGrid w:val="0"/>
        <w:spacing w:line="440" w:lineRule="exact"/>
        <w:ind w:firstLine="105" w:firstLineChars="50"/>
        <w:rPr>
          <w:color w:val="000000"/>
          <w:szCs w:val="21"/>
        </w:rPr>
      </w:pPr>
      <w:r>
        <w:rPr>
          <w:color w:val="000000"/>
          <w:szCs w:val="21"/>
        </w:rPr>
        <w:t>现行有效的企业标准、团体标准、地方标准及产品明示质量要求</w:t>
      </w:r>
    </w:p>
    <w:p w14:paraId="4934E72B">
      <w:pPr>
        <w:snapToGrid w:val="0"/>
        <w:spacing w:line="440" w:lineRule="exact"/>
        <w:rPr>
          <w:rFonts w:ascii="宋体" w:hAnsi="宋体"/>
          <w:color w:val="000000"/>
          <w:szCs w:val="21"/>
        </w:rPr>
      </w:pPr>
      <w:r>
        <w:rPr>
          <w:rFonts w:hint="eastAsia" w:ascii="宋体" w:hAnsi="宋体"/>
          <w:color w:val="000000"/>
          <w:szCs w:val="21"/>
        </w:rPr>
        <w:t>3.2判定原则</w:t>
      </w:r>
    </w:p>
    <w:p w14:paraId="20603C0B">
      <w:pPr>
        <w:snapToGrid w:val="0"/>
        <w:spacing w:line="440" w:lineRule="exact"/>
        <w:ind w:firstLine="424" w:firstLineChars="202"/>
        <w:rPr>
          <w:rFonts w:ascii="宋体" w:hAnsi="宋体" w:cs="Calibri"/>
          <w:szCs w:val="21"/>
        </w:rPr>
      </w:pPr>
      <w:r>
        <w:rPr>
          <w:rFonts w:ascii="宋体" w:hAnsi="宋体" w:cs="Calibri"/>
          <w:szCs w:val="21"/>
        </w:rPr>
        <w:t>经检验，检验项目全部合格，判定为被抽查产品</w:t>
      </w:r>
      <w:r>
        <w:rPr>
          <w:rFonts w:hint="eastAsia" w:ascii="宋体" w:hAnsi="宋体" w:cs="Calibri"/>
          <w:szCs w:val="21"/>
        </w:rPr>
        <w:t>所检项目未发现不</w:t>
      </w:r>
      <w:r>
        <w:rPr>
          <w:rFonts w:ascii="宋体" w:hAnsi="宋体" w:cs="Calibri"/>
          <w:szCs w:val="21"/>
        </w:rPr>
        <w:t>合格；检验项目中任一项或一项以上不合格，判定为被抽查产品不合格。</w:t>
      </w:r>
    </w:p>
    <w:p w14:paraId="72FCF943">
      <w:pPr>
        <w:snapToGrid w:val="0"/>
        <w:spacing w:line="440" w:lineRule="exact"/>
        <w:ind w:firstLine="424" w:firstLineChars="202"/>
        <w:rPr>
          <w:rFonts w:ascii="宋体" w:hAnsi="宋体" w:cs="Calibri"/>
          <w:szCs w:val="21"/>
        </w:rPr>
      </w:pPr>
      <w:r>
        <w:rPr>
          <w:rFonts w:ascii="宋体" w:hAnsi="宋体" w:cs="Calibri"/>
          <w:szCs w:val="21"/>
        </w:rPr>
        <w:t>若被检产品明示的质量要求高于本细则中检验项目依据的标准要求时，应按被检产品明示的质量要求判定。</w:t>
      </w:r>
    </w:p>
    <w:p w14:paraId="23C29B28">
      <w:pPr>
        <w:snapToGrid w:val="0"/>
        <w:spacing w:line="440" w:lineRule="exact"/>
        <w:ind w:firstLine="424" w:firstLineChars="202"/>
        <w:rPr>
          <w:rFonts w:ascii="宋体" w:hAnsi="宋体" w:cs="Calibri"/>
          <w:szCs w:val="21"/>
        </w:rPr>
      </w:pPr>
      <w:r>
        <w:rPr>
          <w:rFonts w:ascii="宋体" w:hAnsi="宋体" w:cs="Calibri"/>
          <w:szCs w:val="21"/>
        </w:rPr>
        <w:t>若被检产品明示的质量要求低于本细则中检验项目依据的强制性标准要求时，应按照强制性标准要求判定。</w:t>
      </w:r>
    </w:p>
    <w:p w14:paraId="6073B79F">
      <w:pPr>
        <w:snapToGrid w:val="0"/>
        <w:spacing w:line="440" w:lineRule="exact"/>
        <w:ind w:firstLine="424" w:firstLineChars="202"/>
        <w:rPr>
          <w:rFonts w:ascii="宋体" w:hAnsi="宋体" w:cs="Calibri"/>
          <w:szCs w:val="21"/>
        </w:rPr>
      </w:pPr>
      <w:r>
        <w:rPr>
          <w:rFonts w:ascii="宋体" w:hAnsi="宋体" w:cs="Calibri"/>
          <w:szCs w:val="21"/>
        </w:rPr>
        <w:t>若被检产品明示的质量要求低于或包含本细则中检验项目依据的推荐性标准要求时，应以被检产品明示的质量要求判定。</w:t>
      </w:r>
    </w:p>
    <w:p w14:paraId="551A6789">
      <w:pPr>
        <w:snapToGrid w:val="0"/>
        <w:spacing w:line="440" w:lineRule="exact"/>
        <w:ind w:firstLine="424" w:firstLineChars="202"/>
        <w:rPr>
          <w:rFonts w:ascii="宋体" w:hAnsi="宋体" w:cs="Calibri"/>
          <w:szCs w:val="21"/>
        </w:rPr>
      </w:pPr>
      <w:r>
        <w:rPr>
          <w:rFonts w:ascii="宋体" w:hAnsi="宋体" w:cs="Calibri"/>
          <w:szCs w:val="21"/>
        </w:rPr>
        <w:t>若被检产品明示的质量要求缺少本细则中检验项目依据的强制性标准要求时，应按照强制性标准要求判定。</w:t>
      </w:r>
    </w:p>
    <w:p w14:paraId="41628B62">
      <w:pPr>
        <w:snapToGrid w:val="0"/>
        <w:spacing w:line="440" w:lineRule="exact"/>
        <w:ind w:firstLine="424" w:firstLineChars="202"/>
        <w:rPr>
          <w:rFonts w:hint="eastAsia" w:ascii="宋体" w:hAnsi="宋体" w:cs="Calibri"/>
          <w:szCs w:val="21"/>
        </w:rPr>
      </w:pPr>
      <w:r>
        <w:rPr>
          <w:rFonts w:ascii="宋体" w:hAnsi="宋体" w:cs="Calibri"/>
          <w:szCs w:val="21"/>
        </w:rPr>
        <w:t>若被检产品明示的质量要求缺少本细则中检验项目依据的推荐性标准要求时，该项目不参与判定。</w:t>
      </w:r>
    </w:p>
    <w:p w14:paraId="0EE75D3F">
      <w:pPr>
        <w:snapToGrid w:val="0"/>
        <w:spacing w:line="440" w:lineRule="exact"/>
        <w:ind w:firstLine="420" w:firstLineChars="200"/>
        <w:rPr>
          <w:rFonts w:ascii="宋体" w:hAnsi="宋体"/>
          <w:color w:val="FF0000"/>
          <w:szCs w:val="21"/>
        </w:rPr>
      </w:pP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149E1">
    <w:pPr>
      <w:pStyle w:val="2"/>
      <w:jc w:val="center"/>
    </w:pPr>
    <w:r>
      <w:rPr>
        <w:lang w:val="zh-CN" w:eastAsia="zh-CN"/>
      </w:rPr>
      <w:fldChar w:fldCharType="begin"/>
    </w:r>
    <w:r>
      <w:rPr>
        <w:lang w:val="zh-CN" w:eastAsia="zh-CN"/>
      </w:rPr>
      <w:instrText xml:space="preserve"> PAGE   \* MERGEFORMAT </w:instrText>
    </w:r>
    <w:r>
      <w:rPr>
        <w:lang w:val="zh-CN" w:eastAsia="zh-CN"/>
      </w:rPr>
      <w:fldChar w:fldCharType="separate"/>
    </w:r>
    <w:r>
      <w:t>1</w:t>
    </w:r>
    <w:r>
      <w:rPr>
        <w:lang w:val="zh-CN" w:eastAsia="zh-CN"/>
      </w:rPr>
      <w:fldChar w:fldCharType="end"/>
    </w:r>
  </w:p>
  <w:p w14:paraId="7DD8C169">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2342E">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14:paraId="066D9291">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34924">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1A44"/>
    <w:rsid w:val="00081CBD"/>
    <w:rsid w:val="00092F8B"/>
    <w:rsid w:val="000976DE"/>
    <w:rsid w:val="001176B1"/>
    <w:rsid w:val="00134FC0"/>
    <w:rsid w:val="001809DD"/>
    <w:rsid w:val="001852D3"/>
    <w:rsid w:val="00186202"/>
    <w:rsid w:val="001D1B19"/>
    <w:rsid w:val="00210825"/>
    <w:rsid w:val="00227294"/>
    <w:rsid w:val="00253624"/>
    <w:rsid w:val="002D7F8A"/>
    <w:rsid w:val="002E0D1D"/>
    <w:rsid w:val="003203A3"/>
    <w:rsid w:val="003C388C"/>
    <w:rsid w:val="003D01C5"/>
    <w:rsid w:val="003E61BF"/>
    <w:rsid w:val="00423CA3"/>
    <w:rsid w:val="00445E86"/>
    <w:rsid w:val="004701A8"/>
    <w:rsid w:val="00474E04"/>
    <w:rsid w:val="004D0C5A"/>
    <w:rsid w:val="004E1396"/>
    <w:rsid w:val="004E7771"/>
    <w:rsid w:val="00563EBC"/>
    <w:rsid w:val="00577241"/>
    <w:rsid w:val="00674302"/>
    <w:rsid w:val="006F0971"/>
    <w:rsid w:val="0072334C"/>
    <w:rsid w:val="007703FB"/>
    <w:rsid w:val="007A0554"/>
    <w:rsid w:val="00892748"/>
    <w:rsid w:val="00894C11"/>
    <w:rsid w:val="00895BEA"/>
    <w:rsid w:val="008A3497"/>
    <w:rsid w:val="00917A54"/>
    <w:rsid w:val="00A07132"/>
    <w:rsid w:val="00A43553"/>
    <w:rsid w:val="00B01216"/>
    <w:rsid w:val="00BA114D"/>
    <w:rsid w:val="00BC5F02"/>
    <w:rsid w:val="00BC6140"/>
    <w:rsid w:val="00C26074"/>
    <w:rsid w:val="00C83B0A"/>
    <w:rsid w:val="00CC7EB5"/>
    <w:rsid w:val="00CD05D7"/>
    <w:rsid w:val="00CE1E0C"/>
    <w:rsid w:val="00CE277E"/>
    <w:rsid w:val="00D26E76"/>
    <w:rsid w:val="00D56867"/>
    <w:rsid w:val="00DA45C4"/>
    <w:rsid w:val="00E02A7F"/>
    <w:rsid w:val="00E07880"/>
    <w:rsid w:val="00E82621"/>
    <w:rsid w:val="00EA50A1"/>
    <w:rsid w:val="00F77C9A"/>
    <w:rsid w:val="00F82151"/>
    <w:rsid w:val="00FB576C"/>
    <w:rsid w:val="00FD2AA6"/>
    <w:rsid w:val="00FE7E8A"/>
    <w:rsid w:val="57EF7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脚 Char"/>
    <w:link w:val="2"/>
    <w:uiPriority w:val="99"/>
    <w:rPr>
      <w:kern w:val="2"/>
      <w:sz w:val="18"/>
      <w:szCs w:val="18"/>
    </w:rPr>
  </w:style>
  <w:style w:type="character" w:customStyle="1" w:styleId="8">
    <w:name w:val="页眉 Char"/>
    <w:link w:val="3"/>
    <w:semiHidden/>
    <w:uiPriority w:val="99"/>
    <w:rPr>
      <w:kern w:val="2"/>
      <w:sz w:val="18"/>
      <w:szCs w:val="18"/>
    </w:rPr>
  </w:style>
  <w:style w:type="paragraph" w:customStyle="1" w:styleId="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4E9E1-4846-4080-9C2D-363765C8DCD7}">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2</Pages>
  <Words>702</Words>
  <Characters>775</Characters>
  <Lines>5</Lines>
  <Paragraphs>1</Paragraphs>
  <TotalTime>4</TotalTime>
  <ScaleCrop>false</ScaleCrop>
  <LinksUpToDate>false</LinksUpToDate>
  <CharactersWithSpaces>798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2026-04-28T03:02:00Z</dcterms:created>
  <dc:creator>Legend User</dc:creator>
  <cp:lastModifiedBy>信号灯</cp:lastModifiedBy>
  <cp:lastPrinted>2019-12-05T07:53:00Z</cp:lastPrinted>
  <dcterms:modified xsi:type="dcterms:W3CDTF">2026-04-29T08:31:58Z</dcterms:modified>
  <dc:title>××产品质量监督抽查实施细则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B9C548E449B349E8B4C4C931201CA8D1_13</vt:lpwstr>
  </property>
</Properties>
</file>