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071AD9">
      <w:pPr>
        <w:pStyle w:val="5"/>
        <w:tabs>
          <w:tab w:val="left" w:pos="8630"/>
        </w:tabs>
        <w:spacing w:before="35"/>
        <w:ind w:left="0" w:right="-17"/>
        <w:rPr>
          <w:rFonts w:ascii="方正小标宋简体" w:eastAsia="方正小标宋简体"/>
          <w:sz w:val="32"/>
          <w:szCs w:val="32"/>
        </w:rPr>
      </w:pPr>
      <w:bookmarkStart w:id="0" w:name="_GoBack"/>
      <w:bookmarkEnd w:id="0"/>
      <w:r>
        <w:rPr>
          <w:rFonts w:hint="eastAsia" w:ascii="方正小标宋简体" w:eastAsia="方正小标宋简体"/>
          <w:spacing w:val="-4"/>
          <w:sz w:val="32"/>
          <w:szCs w:val="32"/>
        </w:rPr>
        <w:t>青岛市液化石油气产品质量监督抽查实施细</w:t>
      </w:r>
      <w:r>
        <w:rPr>
          <w:rFonts w:hint="eastAsia" w:ascii="方正小标宋简体" w:eastAsia="方正小标宋简体"/>
          <w:spacing w:val="-10"/>
          <w:sz w:val="32"/>
          <w:szCs w:val="32"/>
        </w:rPr>
        <w:t>则</w:t>
      </w:r>
    </w:p>
    <w:p w14:paraId="740C3635">
      <w:pPr>
        <w:pStyle w:val="2"/>
        <w:spacing w:before="9"/>
        <w:jc w:val="center"/>
        <w:rPr>
          <w:rFonts w:ascii="方正小标宋简体" w:eastAsia="方正小标宋简体"/>
          <w:b/>
          <w:sz w:val="32"/>
          <w:szCs w:val="32"/>
        </w:rPr>
      </w:pPr>
      <w:r>
        <w:rPr>
          <w:rFonts w:hint="eastAsia" w:ascii="方正小标宋简体" w:eastAsia="方正小标宋简体"/>
          <w:spacing w:val="-4"/>
          <w:sz w:val="32"/>
          <w:szCs w:val="32"/>
        </w:rPr>
        <w:t>（202</w:t>
      </w:r>
      <w:r>
        <w:rPr>
          <w:rFonts w:hint="eastAsia" w:ascii="方正小标宋简体" w:eastAsia="方正小标宋简体"/>
          <w:spacing w:val="-4"/>
          <w:sz w:val="32"/>
          <w:szCs w:val="32"/>
          <w:lang w:val="en-US" w:eastAsia="zh-CN"/>
        </w:rPr>
        <w:t>6</w:t>
      </w:r>
      <w:r>
        <w:rPr>
          <w:rFonts w:hint="eastAsia" w:ascii="方正小标宋简体" w:eastAsia="方正小标宋简体"/>
          <w:spacing w:val="-32"/>
          <w:sz w:val="32"/>
          <w:szCs w:val="32"/>
        </w:rPr>
        <w:t>年</w:t>
      </w:r>
      <w:r>
        <w:rPr>
          <w:rFonts w:hint="eastAsia" w:ascii="方正小标宋简体" w:eastAsia="方正小标宋简体"/>
          <w:spacing w:val="-10"/>
          <w:sz w:val="32"/>
          <w:szCs w:val="32"/>
        </w:rPr>
        <w:t>）</w:t>
      </w:r>
    </w:p>
    <w:p w14:paraId="3F7A56D5">
      <w:pPr>
        <w:pStyle w:val="5"/>
      </w:pPr>
    </w:p>
    <w:p w14:paraId="4B5EB959">
      <w:pPr>
        <w:tabs>
          <w:tab w:val="left" w:pos="332"/>
        </w:tabs>
        <w:spacing w:before="69"/>
        <w:rPr>
          <w:rFonts w:ascii="黑体" w:hAnsi="黑体" w:eastAsia="黑体"/>
          <w:sz w:val="21"/>
        </w:rPr>
      </w:pPr>
      <w:r>
        <w:rPr>
          <w:rFonts w:hint="eastAsia" w:ascii="黑体" w:hAnsi="黑体" w:eastAsia="黑体"/>
          <w:spacing w:val="-6"/>
          <w:sz w:val="21"/>
        </w:rPr>
        <w:t xml:space="preserve">1 </w:t>
      </w:r>
      <w:r>
        <w:rPr>
          <w:rFonts w:ascii="黑体" w:hAnsi="黑体" w:eastAsia="黑体"/>
          <w:spacing w:val="-6"/>
          <w:sz w:val="21"/>
        </w:rPr>
        <w:t>抽样</w:t>
      </w:r>
      <w:r>
        <w:rPr>
          <w:rFonts w:hint="eastAsia" w:ascii="黑体" w:hAnsi="黑体" w:eastAsia="黑体"/>
          <w:spacing w:val="-6"/>
          <w:sz w:val="21"/>
        </w:rPr>
        <w:t>方法</w:t>
      </w:r>
    </w:p>
    <w:p w14:paraId="33ED88AF">
      <w:pPr>
        <w:pStyle w:val="2"/>
        <w:spacing w:line="400" w:lineRule="exact"/>
        <w:ind w:firstLine="412" w:firstLineChars="200"/>
        <w:rPr>
          <w:spacing w:val="-2"/>
        </w:rPr>
      </w:pPr>
      <w:r>
        <w:rPr>
          <w:spacing w:val="-2"/>
        </w:rPr>
        <w:t>以随机抽样的方式在被抽样生产者、销售者的待销产品中抽取。</w:t>
      </w:r>
    </w:p>
    <w:p w14:paraId="7B40844A">
      <w:pPr>
        <w:pStyle w:val="2"/>
        <w:spacing w:line="400" w:lineRule="exact"/>
        <w:ind w:firstLine="404" w:firstLineChars="200"/>
      </w:pPr>
      <w:r>
        <w:rPr>
          <w:spacing w:val="-4"/>
        </w:rPr>
        <w:t>每批次液化石油气抽取不少</w:t>
      </w:r>
      <w:r>
        <w:rPr>
          <w:spacing w:val="-9"/>
        </w:rPr>
        <w:t xml:space="preserve">于 </w:t>
      </w:r>
      <w:r>
        <w:rPr>
          <w:spacing w:val="-4"/>
        </w:rPr>
        <w:t>4L</w:t>
      </w:r>
      <w:r>
        <w:rPr>
          <w:spacing w:val="-8"/>
        </w:rPr>
        <w:t xml:space="preserve"> 样品，</w:t>
      </w:r>
      <w:r>
        <w:rPr>
          <w:spacing w:val="-4"/>
        </w:rPr>
        <w:t>其</w:t>
      </w:r>
      <w:r>
        <w:rPr>
          <w:spacing w:val="-8"/>
        </w:rPr>
        <w:t xml:space="preserve">中 </w:t>
      </w:r>
      <w:r>
        <w:rPr>
          <w:spacing w:val="-4"/>
        </w:rPr>
        <w:t>1/2</w:t>
      </w:r>
      <w:r>
        <w:rPr>
          <w:spacing w:val="-10"/>
        </w:rPr>
        <w:t xml:space="preserve"> 作为</w:t>
      </w:r>
      <w:r>
        <w:rPr>
          <w:spacing w:val="-4"/>
        </w:rPr>
        <w:t>检样</w:t>
      </w:r>
      <w:r>
        <w:rPr>
          <w:spacing w:val="-7"/>
        </w:rPr>
        <w:t xml:space="preserve">，另 </w:t>
      </w:r>
      <w:r>
        <w:rPr>
          <w:spacing w:val="-4"/>
        </w:rPr>
        <w:t>1/2</w:t>
      </w:r>
      <w:r>
        <w:rPr>
          <w:spacing w:val="-6"/>
        </w:rPr>
        <w:t>作为备样。</w:t>
      </w:r>
      <w:r>
        <w:rPr>
          <w:spacing w:val="-2"/>
        </w:rPr>
        <w:t xml:space="preserve">使用符合 </w:t>
      </w:r>
      <w:r>
        <w:t>SH/T 0233-1992《液化石油气采样法》要求的不锈钢采样器进行取样。</w:t>
      </w:r>
    </w:p>
    <w:p w14:paraId="271CF2CC">
      <w:pPr>
        <w:pStyle w:val="2"/>
        <w:spacing w:line="400" w:lineRule="exact"/>
        <w:ind w:firstLine="420" w:firstLineChars="200"/>
      </w:pPr>
    </w:p>
    <w:p w14:paraId="2434707F">
      <w:pPr>
        <w:tabs>
          <w:tab w:val="left" w:pos="332"/>
        </w:tabs>
        <w:spacing w:line="400" w:lineRule="exact"/>
        <w:jc w:val="both"/>
        <w:rPr>
          <w:rFonts w:ascii="黑体" w:hAnsi="黑体" w:eastAsia="黑体"/>
          <w:sz w:val="21"/>
        </w:rPr>
      </w:pPr>
      <w:r>
        <w:rPr>
          <w:rFonts w:hint="eastAsia" w:ascii="黑体" w:hAnsi="黑体" w:eastAsia="黑体"/>
          <w:spacing w:val="-3"/>
          <w:sz w:val="21"/>
        </w:rPr>
        <w:t xml:space="preserve">2 </w:t>
      </w:r>
      <w:r>
        <w:rPr>
          <w:rFonts w:ascii="黑体" w:hAnsi="黑体" w:eastAsia="黑体"/>
          <w:spacing w:val="-3"/>
          <w:sz w:val="21"/>
        </w:rPr>
        <w:t>检验</w:t>
      </w:r>
      <w:r>
        <w:rPr>
          <w:rFonts w:hint="eastAsia" w:ascii="黑体" w:hAnsi="黑体" w:eastAsia="黑体"/>
          <w:spacing w:val="-3"/>
          <w:sz w:val="21"/>
        </w:rPr>
        <w:t>依据</w:t>
      </w:r>
    </w:p>
    <w:p w14:paraId="2BFF5FE4">
      <w:pPr>
        <w:pStyle w:val="2"/>
        <w:spacing w:before="11" w:line="400" w:lineRule="exact"/>
        <w:rPr>
          <w:b/>
          <w:sz w:val="7"/>
        </w:rPr>
      </w:pPr>
    </w:p>
    <w:tbl>
      <w:tblPr>
        <w:tblStyle w:val="8"/>
        <w:tblW w:w="0" w:type="auto"/>
        <w:tblInd w:w="78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76"/>
        <w:gridCol w:w="2977"/>
        <w:gridCol w:w="2728"/>
      </w:tblGrid>
      <w:tr w14:paraId="0C88BD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1276" w:type="dxa"/>
          </w:tcPr>
          <w:p w14:paraId="4BC98C32">
            <w:pPr>
              <w:pStyle w:val="10"/>
              <w:spacing w:before="69"/>
              <w:ind w:left="414" w:right="408"/>
              <w:rPr>
                <w:sz w:val="21"/>
              </w:rPr>
            </w:pPr>
            <w:r>
              <w:rPr>
                <w:spacing w:val="-8"/>
                <w:sz w:val="21"/>
              </w:rPr>
              <w:t>序号</w:t>
            </w:r>
          </w:p>
        </w:tc>
        <w:tc>
          <w:tcPr>
            <w:tcW w:w="2977" w:type="dxa"/>
          </w:tcPr>
          <w:p w14:paraId="0B128192">
            <w:pPr>
              <w:pStyle w:val="10"/>
              <w:spacing w:before="69"/>
              <w:ind w:left="843" w:right="840"/>
              <w:rPr>
                <w:sz w:val="21"/>
              </w:rPr>
            </w:pPr>
            <w:r>
              <w:rPr>
                <w:spacing w:val="-7"/>
                <w:sz w:val="21"/>
              </w:rPr>
              <w:t>检验项目</w:t>
            </w:r>
          </w:p>
        </w:tc>
        <w:tc>
          <w:tcPr>
            <w:tcW w:w="2728" w:type="dxa"/>
          </w:tcPr>
          <w:p w14:paraId="383C0CA0">
            <w:pPr>
              <w:pStyle w:val="10"/>
              <w:spacing w:before="69"/>
              <w:ind w:left="721" w:right="715"/>
              <w:rPr>
                <w:sz w:val="21"/>
              </w:rPr>
            </w:pPr>
            <w:r>
              <w:rPr>
                <w:spacing w:val="-7"/>
                <w:sz w:val="21"/>
              </w:rPr>
              <w:t>检测方法</w:t>
            </w:r>
          </w:p>
        </w:tc>
      </w:tr>
      <w:tr w14:paraId="01E39D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5" w:hRule="atLeast"/>
        </w:trPr>
        <w:tc>
          <w:tcPr>
            <w:tcW w:w="1276" w:type="dxa"/>
          </w:tcPr>
          <w:p w14:paraId="3EA2CC12">
            <w:pPr>
              <w:pStyle w:val="10"/>
              <w:spacing w:before="135"/>
              <w:rPr>
                <w:sz w:val="21"/>
              </w:rPr>
            </w:pPr>
            <w:r>
              <w:rPr>
                <w:w w:val="99"/>
                <w:sz w:val="21"/>
              </w:rPr>
              <w:t>1</w:t>
            </w:r>
          </w:p>
        </w:tc>
        <w:tc>
          <w:tcPr>
            <w:tcW w:w="2977" w:type="dxa"/>
            <w:vAlign w:val="top"/>
          </w:tcPr>
          <w:p w14:paraId="60FB1B89">
            <w:pPr>
              <w:pStyle w:val="10"/>
              <w:ind w:left="846" w:leftChars="0" w:right="840" w:rightChars="0"/>
              <w:rPr>
                <w:sz w:val="21"/>
              </w:rPr>
            </w:pPr>
            <w:r>
              <w:rPr>
                <w:spacing w:val="-8"/>
                <w:sz w:val="21"/>
              </w:rPr>
              <w:t>组分</w:t>
            </w:r>
          </w:p>
        </w:tc>
        <w:tc>
          <w:tcPr>
            <w:tcW w:w="2728" w:type="dxa"/>
            <w:vAlign w:val="top"/>
          </w:tcPr>
          <w:p w14:paraId="5AF7BDBD">
            <w:pPr>
              <w:pStyle w:val="10"/>
              <w:ind w:left="724" w:leftChars="0" w:right="715" w:rightChars="0"/>
              <w:rPr>
                <w:sz w:val="21"/>
              </w:rPr>
            </w:pPr>
            <w:r>
              <w:rPr>
                <w:rFonts w:hint="eastAsia"/>
                <w:sz w:val="21"/>
              </w:rPr>
              <w:t>NB/SH/T 0230</w:t>
            </w:r>
          </w:p>
        </w:tc>
      </w:tr>
      <w:tr w14:paraId="1284E0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1276" w:type="dxa"/>
          </w:tcPr>
          <w:p w14:paraId="6004934B">
            <w:pPr>
              <w:pStyle w:val="10"/>
              <w:spacing w:before="67"/>
              <w:rPr>
                <w:sz w:val="21"/>
              </w:rPr>
            </w:pPr>
            <w:r>
              <w:rPr>
                <w:w w:val="99"/>
                <w:sz w:val="21"/>
              </w:rPr>
              <w:t>2</w:t>
            </w:r>
          </w:p>
        </w:tc>
        <w:tc>
          <w:tcPr>
            <w:tcW w:w="2977" w:type="dxa"/>
            <w:vAlign w:val="top"/>
          </w:tcPr>
          <w:p w14:paraId="012E44A9">
            <w:pPr>
              <w:pStyle w:val="10"/>
              <w:spacing w:before="69"/>
              <w:ind w:left="846" w:leftChars="0" w:right="840" w:rightChars="0"/>
              <w:rPr>
                <w:sz w:val="21"/>
              </w:rPr>
            </w:pPr>
            <w:r>
              <w:rPr>
                <w:spacing w:val="-5"/>
                <w:sz w:val="21"/>
              </w:rPr>
              <w:t>残留物</w:t>
            </w:r>
          </w:p>
        </w:tc>
        <w:tc>
          <w:tcPr>
            <w:tcW w:w="2728" w:type="dxa"/>
            <w:vAlign w:val="top"/>
          </w:tcPr>
          <w:p w14:paraId="127DF735">
            <w:pPr>
              <w:pStyle w:val="10"/>
              <w:spacing w:before="69"/>
              <w:ind w:left="724" w:leftChars="0" w:right="715" w:rightChars="0"/>
              <w:rPr>
                <w:sz w:val="21"/>
              </w:rPr>
            </w:pPr>
            <w:r>
              <w:rPr>
                <w:sz w:val="21"/>
              </w:rPr>
              <w:t>SY/T</w:t>
            </w:r>
            <w:r>
              <w:rPr>
                <w:spacing w:val="-3"/>
                <w:sz w:val="21"/>
              </w:rPr>
              <w:t xml:space="preserve"> </w:t>
            </w:r>
            <w:r>
              <w:rPr>
                <w:spacing w:val="-4"/>
                <w:sz w:val="21"/>
              </w:rPr>
              <w:t>7509</w:t>
            </w:r>
          </w:p>
        </w:tc>
      </w:tr>
      <w:tr w14:paraId="7511B4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1276" w:type="dxa"/>
          </w:tcPr>
          <w:p w14:paraId="502FCB31">
            <w:pPr>
              <w:pStyle w:val="10"/>
              <w:rPr>
                <w:sz w:val="21"/>
              </w:rPr>
            </w:pPr>
            <w:r>
              <w:rPr>
                <w:w w:val="99"/>
                <w:sz w:val="21"/>
              </w:rPr>
              <w:t>3</w:t>
            </w:r>
          </w:p>
        </w:tc>
        <w:tc>
          <w:tcPr>
            <w:tcW w:w="2977" w:type="dxa"/>
            <w:vAlign w:val="top"/>
          </w:tcPr>
          <w:p w14:paraId="5DBBE771">
            <w:pPr>
              <w:pStyle w:val="10"/>
              <w:spacing w:before="67"/>
              <w:ind w:left="843" w:leftChars="0" w:right="840" w:rightChars="0"/>
              <w:rPr>
                <w:sz w:val="21"/>
              </w:rPr>
            </w:pPr>
            <w:r>
              <w:rPr>
                <w:spacing w:val="-7"/>
                <w:sz w:val="21"/>
              </w:rPr>
              <w:t>铜片腐蚀</w:t>
            </w:r>
          </w:p>
        </w:tc>
        <w:tc>
          <w:tcPr>
            <w:tcW w:w="2728" w:type="dxa"/>
            <w:vAlign w:val="top"/>
          </w:tcPr>
          <w:p w14:paraId="7C9689F7">
            <w:pPr>
              <w:pStyle w:val="10"/>
              <w:spacing w:before="67"/>
              <w:ind w:left="724" w:leftChars="0" w:right="715" w:rightChars="0"/>
              <w:rPr>
                <w:sz w:val="21"/>
              </w:rPr>
            </w:pPr>
            <w:r>
              <w:rPr>
                <w:sz w:val="21"/>
              </w:rPr>
              <w:t>SH/T</w:t>
            </w:r>
            <w:r>
              <w:rPr>
                <w:spacing w:val="-3"/>
                <w:sz w:val="21"/>
              </w:rPr>
              <w:t xml:space="preserve"> </w:t>
            </w:r>
            <w:r>
              <w:rPr>
                <w:spacing w:val="-4"/>
                <w:sz w:val="21"/>
              </w:rPr>
              <w:t>0232</w:t>
            </w:r>
          </w:p>
        </w:tc>
      </w:tr>
      <w:tr w14:paraId="4AD309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1276" w:type="dxa"/>
          </w:tcPr>
          <w:p w14:paraId="472C946A">
            <w:pPr>
              <w:pStyle w:val="10"/>
              <w:spacing w:before="69"/>
              <w:rPr>
                <w:sz w:val="21"/>
              </w:rPr>
            </w:pPr>
            <w:r>
              <w:rPr>
                <w:w w:val="99"/>
                <w:sz w:val="21"/>
              </w:rPr>
              <w:t>4</w:t>
            </w:r>
          </w:p>
        </w:tc>
        <w:tc>
          <w:tcPr>
            <w:tcW w:w="2977" w:type="dxa"/>
            <w:vAlign w:val="top"/>
          </w:tcPr>
          <w:p w14:paraId="6882221E">
            <w:pPr>
              <w:pStyle w:val="10"/>
              <w:ind w:left="843" w:leftChars="0" w:right="840" w:rightChars="0"/>
              <w:rPr>
                <w:sz w:val="21"/>
              </w:rPr>
            </w:pPr>
            <w:r>
              <w:rPr>
                <w:spacing w:val="-7"/>
                <w:sz w:val="21"/>
              </w:rPr>
              <w:t>总硫含量</w:t>
            </w:r>
          </w:p>
        </w:tc>
        <w:tc>
          <w:tcPr>
            <w:tcW w:w="2728" w:type="dxa"/>
            <w:vAlign w:val="top"/>
          </w:tcPr>
          <w:p w14:paraId="307EA351">
            <w:pPr>
              <w:pStyle w:val="10"/>
              <w:ind w:left="724" w:leftChars="0" w:right="715" w:rightChars="0"/>
              <w:rPr>
                <w:sz w:val="21"/>
              </w:rPr>
            </w:pPr>
            <w:r>
              <w:rPr>
                <w:sz w:val="21"/>
              </w:rPr>
              <w:t>SH/T</w:t>
            </w:r>
            <w:r>
              <w:rPr>
                <w:spacing w:val="-3"/>
                <w:sz w:val="21"/>
              </w:rPr>
              <w:t xml:space="preserve"> </w:t>
            </w:r>
            <w:r>
              <w:rPr>
                <w:spacing w:val="-4"/>
                <w:sz w:val="21"/>
              </w:rPr>
              <w:t>0222</w:t>
            </w:r>
          </w:p>
        </w:tc>
      </w:tr>
      <w:tr w14:paraId="2CD31E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1276" w:type="dxa"/>
          </w:tcPr>
          <w:p w14:paraId="02645F7E">
            <w:pPr>
              <w:pStyle w:val="10"/>
              <w:spacing w:before="67"/>
              <w:rPr>
                <w:sz w:val="21"/>
              </w:rPr>
            </w:pPr>
            <w:r>
              <w:rPr>
                <w:w w:val="99"/>
                <w:sz w:val="21"/>
              </w:rPr>
              <w:t>5</w:t>
            </w:r>
          </w:p>
        </w:tc>
        <w:tc>
          <w:tcPr>
            <w:tcW w:w="2977" w:type="dxa"/>
            <w:vAlign w:val="top"/>
          </w:tcPr>
          <w:p w14:paraId="3C195C8F">
            <w:pPr>
              <w:pStyle w:val="10"/>
              <w:spacing w:before="134"/>
              <w:ind w:left="846" w:leftChars="0" w:right="840" w:rightChars="0"/>
              <w:rPr>
                <w:sz w:val="21"/>
              </w:rPr>
            </w:pPr>
            <w:r>
              <w:rPr>
                <w:spacing w:val="-5"/>
                <w:sz w:val="21"/>
              </w:rPr>
              <w:t>硫化氢</w:t>
            </w:r>
          </w:p>
        </w:tc>
        <w:tc>
          <w:tcPr>
            <w:tcW w:w="2728" w:type="dxa"/>
            <w:vAlign w:val="top"/>
          </w:tcPr>
          <w:p w14:paraId="2CF95330">
            <w:pPr>
              <w:pStyle w:val="10"/>
              <w:spacing w:before="0"/>
              <w:ind w:left="890"/>
              <w:jc w:val="left"/>
              <w:rPr>
                <w:sz w:val="21"/>
              </w:rPr>
            </w:pPr>
            <w:r>
              <w:rPr>
                <w:sz w:val="21"/>
              </w:rPr>
              <w:t>SH/T</w:t>
            </w:r>
            <w:r>
              <w:rPr>
                <w:spacing w:val="-3"/>
                <w:sz w:val="21"/>
              </w:rPr>
              <w:t xml:space="preserve"> </w:t>
            </w:r>
            <w:r>
              <w:rPr>
                <w:spacing w:val="-4"/>
                <w:sz w:val="21"/>
              </w:rPr>
              <w:t>0125</w:t>
            </w:r>
          </w:p>
          <w:p w14:paraId="1BA9DF1B">
            <w:pPr>
              <w:pStyle w:val="10"/>
              <w:spacing w:before="2" w:line="253" w:lineRule="exact"/>
              <w:ind w:left="890" w:leftChars="0"/>
              <w:jc w:val="left"/>
              <w:rPr>
                <w:sz w:val="21"/>
              </w:rPr>
            </w:pPr>
            <w:r>
              <w:rPr>
                <w:sz w:val="21"/>
              </w:rPr>
              <w:t>SH/T</w:t>
            </w:r>
            <w:r>
              <w:rPr>
                <w:spacing w:val="-3"/>
                <w:sz w:val="21"/>
              </w:rPr>
              <w:t xml:space="preserve"> </w:t>
            </w:r>
            <w:r>
              <w:rPr>
                <w:spacing w:val="-4"/>
                <w:sz w:val="21"/>
              </w:rPr>
              <w:t>0231</w:t>
            </w:r>
          </w:p>
        </w:tc>
      </w:tr>
      <w:tr w14:paraId="0E9DE9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1276" w:type="dxa"/>
          </w:tcPr>
          <w:p w14:paraId="58A929FC">
            <w:pPr>
              <w:pStyle w:val="10"/>
              <w:rPr>
                <w:sz w:val="21"/>
              </w:rPr>
            </w:pPr>
            <w:r>
              <w:rPr>
                <w:w w:val="99"/>
                <w:sz w:val="21"/>
              </w:rPr>
              <w:t>6</w:t>
            </w:r>
          </w:p>
        </w:tc>
        <w:tc>
          <w:tcPr>
            <w:tcW w:w="2977" w:type="dxa"/>
            <w:vAlign w:val="top"/>
          </w:tcPr>
          <w:p w14:paraId="7159445E">
            <w:pPr>
              <w:pStyle w:val="10"/>
              <w:spacing w:before="70"/>
              <w:ind w:left="846" w:leftChars="0" w:right="840" w:rightChars="0"/>
              <w:rPr>
                <w:sz w:val="21"/>
              </w:rPr>
            </w:pPr>
            <w:r>
              <w:rPr>
                <w:spacing w:val="-5"/>
                <w:sz w:val="21"/>
              </w:rPr>
              <w:t>游离水</w:t>
            </w:r>
          </w:p>
        </w:tc>
        <w:tc>
          <w:tcPr>
            <w:tcW w:w="2728" w:type="dxa"/>
            <w:vAlign w:val="top"/>
          </w:tcPr>
          <w:p w14:paraId="5D249CFF">
            <w:pPr>
              <w:pStyle w:val="10"/>
              <w:spacing w:before="70"/>
              <w:ind w:left="722" w:leftChars="0" w:right="715" w:rightChars="0"/>
              <w:rPr>
                <w:sz w:val="21"/>
              </w:rPr>
            </w:pPr>
            <w:r>
              <w:rPr>
                <w:sz w:val="21"/>
              </w:rPr>
              <w:t>GB</w:t>
            </w:r>
            <w:r>
              <w:rPr>
                <w:spacing w:val="-3"/>
                <w:sz w:val="21"/>
              </w:rPr>
              <w:t xml:space="preserve"> </w:t>
            </w:r>
            <w:r>
              <w:rPr>
                <w:spacing w:val="-2"/>
                <w:sz w:val="21"/>
              </w:rPr>
              <w:t>11174</w:t>
            </w:r>
          </w:p>
        </w:tc>
      </w:tr>
    </w:tbl>
    <w:p w14:paraId="2973FB80">
      <w:pPr>
        <w:snapToGrid w:val="0"/>
        <w:spacing w:line="440" w:lineRule="exact"/>
        <w:ind w:firstLine="462" w:firstLineChars="220"/>
        <w:rPr>
          <w:color w:val="000000"/>
          <w:sz w:val="21"/>
          <w:szCs w:val="21"/>
        </w:rPr>
      </w:pPr>
      <w:r>
        <w:rPr>
          <w:color w:val="000000"/>
          <w:sz w:val="21"/>
          <w:szCs w:val="21"/>
        </w:rPr>
        <w:t>执行企业标准、团体标准、地方标准的产品，检验项目参照上述内容执行。</w:t>
      </w:r>
    </w:p>
    <w:p w14:paraId="0373B14C">
      <w:pPr>
        <w:pStyle w:val="2"/>
        <w:spacing w:line="400" w:lineRule="exact"/>
        <w:ind w:firstLine="420" w:firstLineChars="200"/>
        <w:rPr>
          <w:color w:val="000000"/>
        </w:rPr>
      </w:pPr>
      <w:r>
        <w:rPr>
          <w:color w:val="000000"/>
        </w:rPr>
        <w:t>凡是注日期的文件，其随后所有的修改单（不包括勘误的内容）或修订版不适用于本细则。凡是不注日期的文件，其最新版本适用于本细则。</w:t>
      </w:r>
    </w:p>
    <w:p w14:paraId="0CC4A225">
      <w:pPr>
        <w:pStyle w:val="2"/>
        <w:spacing w:line="400" w:lineRule="exact"/>
        <w:ind w:firstLine="408" w:firstLineChars="200"/>
        <w:rPr>
          <w:spacing w:val="-3"/>
        </w:rPr>
      </w:pPr>
    </w:p>
    <w:p w14:paraId="376B7974">
      <w:pPr>
        <w:tabs>
          <w:tab w:val="left" w:pos="332"/>
        </w:tabs>
        <w:spacing w:line="400" w:lineRule="exact"/>
        <w:rPr>
          <w:rFonts w:ascii="黑体" w:hAnsi="黑体" w:eastAsia="黑体"/>
          <w:sz w:val="21"/>
        </w:rPr>
      </w:pPr>
      <w:r>
        <w:rPr>
          <w:rFonts w:hint="eastAsia" w:ascii="黑体" w:hAnsi="黑体" w:eastAsia="黑体"/>
          <w:spacing w:val="-4"/>
          <w:sz w:val="21"/>
        </w:rPr>
        <w:t xml:space="preserve">3 </w:t>
      </w:r>
      <w:r>
        <w:rPr>
          <w:rFonts w:ascii="黑体" w:hAnsi="黑体" w:eastAsia="黑体"/>
          <w:spacing w:val="-4"/>
          <w:sz w:val="21"/>
        </w:rPr>
        <w:t>判定规则</w:t>
      </w:r>
    </w:p>
    <w:p w14:paraId="5BA985BC">
      <w:pPr>
        <w:pStyle w:val="2"/>
        <w:spacing w:line="400" w:lineRule="exact"/>
        <w:rPr>
          <w:spacing w:val="-3"/>
        </w:rPr>
      </w:pPr>
      <w:r>
        <w:rPr>
          <w:rFonts w:hint="eastAsia"/>
          <w:spacing w:val="-3"/>
        </w:rPr>
        <w:t xml:space="preserve">3.1 </w:t>
      </w:r>
      <w:r>
        <w:rPr>
          <w:spacing w:val="-3"/>
        </w:rPr>
        <w:t>依据标准</w:t>
      </w:r>
    </w:p>
    <w:p w14:paraId="31F9FE40">
      <w:pPr>
        <w:pStyle w:val="2"/>
        <w:spacing w:line="400" w:lineRule="exact"/>
        <w:ind w:firstLine="399" w:firstLineChars="196"/>
        <w:rPr>
          <w:spacing w:val="-3"/>
        </w:rPr>
      </w:pPr>
      <w:r>
        <w:rPr>
          <w:spacing w:val="-3"/>
        </w:rPr>
        <w:t>GB 11174 液化石油气</w:t>
      </w:r>
    </w:p>
    <w:p w14:paraId="33108B20">
      <w:pPr>
        <w:pStyle w:val="2"/>
        <w:spacing w:line="400" w:lineRule="exact"/>
        <w:ind w:firstLine="420" w:firstLineChars="200"/>
        <w:rPr>
          <w:spacing w:val="-3"/>
        </w:rPr>
      </w:pPr>
      <w:r>
        <w:rPr>
          <w:color w:val="000000"/>
        </w:rPr>
        <w:t>现行有效的企业标准、团体标准、地方标准及产品明示质量要求</w:t>
      </w:r>
    </w:p>
    <w:p w14:paraId="52DD505A">
      <w:pPr>
        <w:snapToGrid w:val="0"/>
        <w:spacing w:line="440" w:lineRule="exact"/>
        <w:rPr>
          <w:color w:val="000000"/>
          <w:sz w:val="21"/>
          <w:szCs w:val="21"/>
        </w:rPr>
      </w:pPr>
      <w:r>
        <w:rPr>
          <w:rFonts w:hint="eastAsia"/>
          <w:color w:val="000000"/>
          <w:sz w:val="21"/>
          <w:szCs w:val="21"/>
        </w:rPr>
        <w:t>3.2 判定原则</w:t>
      </w:r>
    </w:p>
    <w:p w14:paraId="178F7A71">
      <w:pPr>
        <w:snapToGrid w:val="0"/>
        <w:spacing w:line="440" w:lineRule="exact"/>
        <w:ind w:firstLine="424" w:firstLineChars="202"/>
        <w:rPr>
          <w:rFonts w:cs="Calibri"/>
          <w:sz w:val="21"/>
          <w:szCs w:val="21"/>
        </w:rPr>
      </w:pPr>
      <w:r>
        <w:rPr>
          <w:rFonts w:cs="Calibri"/>
          <w:sz w:val="21"/>
          <w:szCs w:val="21"/>
        </w:rPr>
        <w:t>经检验，检验项目全部合格，判定为被抽查产品</w:t>
      </w:r>
      <w:r>
        <w:rPr>
          <w:rFonts w:hint="eastAsia" w:cs="Calibri"/>
          <w:sz w:val="21"/>
          <w:szCs w:val="21"/>
        </w:rPr>
        <w:t>所检项目未发现不</w:t>
      </w:r>
      <w:r>
        <w:rPr>
          <w:rFonts w:cs="Calibri"/>
          <w:sz w:val="21"/>
          <w:szCs w:val="21"/>
        </w:rPr>
        <w:t>合格；检验项目中任一项或一项以上不合格，判定为被抽查产品不合格。</w:t>
      </w:r>
    </w:p>
    <w:p w14:paraId="1BEE4619">
      <w:pPr>
        <w:snapToGrid w:val="0"/>
        <w:spacing w:line="440" w:lineRule="exact"/>
        <w:ind w:firstLine="424" w:firstLineChars="202"/>
        <w:rPr>
          <w:rFonts w:cs="Calibri"/>
          <w:sz w:val="21"/>
          <w:szCs w:val="21"/>
        </w:rPr>
      </w:pPr>
      <w:r>
        <w:rPr>
          <w:rFonts w:cs="Calibri"/>
          <w:sz w:val="21"/>
          <w:szCs w:val="21"/>
        </w:rPr>
        <w:t>若被检产品明示的质量要求高于本细则中检验项目依据的标准要求时，应按被检产品明示的质量要求判定。</w:t>
      </w:r>
    </w:p>
    <w:p w14:paraId="6DA3D571">
      <w:pPr>
        <w:snapToGrid w:val="0"/>
        <w:spacing w:line="440" w:lineRule="exact"/>
        <w:ind w:firstLine="424" w:firstLineChars="202"/>
        <w:rPr>
          <w:rFonts w:cs="Calibri"/>
          <w:sz w:val="21"/>
          <w:szCs w:val="21"/>
        </w:rPr>
      </w:pPr>
      <w:r>
        <w:rPr>
          <w:rFonts w:cs="Calibri"/>
          <w:sz w:val="21"/>
          <w:szCs w:val="21"/>
        </w:rPr>
        <w:t>若被检产品明示的质量要求低于本细则中检验项目依据的强制性标准要求时，应按照强制性标准要求判定。</w:t>
      </w:r>
    </w:p>
    <w:p w14:paraId="466655FC">
      <w:pPr>
        <w:snapToGrid w:val="0"/>
        <w:spacing w:line="440" w:lineRule="exact"/>
        <w:ind w:firstLine="424" w:firstLineChars="202"/>
        <w:rPr>
          <w:rFonts w:cs="Calibri"/>
          <w:sz w:val="21"/>
          <w:szCs w:val="21"/>
        </w:rPr>
      </w:pPr>
      <w:r>
        <w:rPr>
          <w:rFonts w:cs="Calibri"/>
          <w:sz w:val="21"/>
          <w:szCs w:val="21"/>
        </w:rPr>
        <w:t>若被检产品明示的质量要求低于或包含本细则中检验项目依据的推荐性标准要求时，应以被检产品明示的质量要求判定。</w:t>
      </w:r>
    </w:p>
    <w:p w14:paraId="2E40E864">
      <w:pPr>
        <w:snapToGrid w:val="0"/>
        <w:spacing w:line="440" w:lineRule="exact"/>
        <w:ind w:firstLine="424" w:firstLineChars="202"/>
        <w:rPr>
          <w:rFonts w:cs="Calibri"/>
          <w:sz w:val="21"/>
          <w:szCs w:val="21"/>
        </w:rPr>
      </w:pPr>
      <w:r>
        <w:rPr>
          <w:rFonts w:cs="Calibri"/>
          <w:sz w:val="21"/>
          <w:szCs w:val="21"/>
        </w:rPr>
        <w:t>若被检产品明示的质量要求缺少本细则中检验项目依据的强制性标准要求时，应按照强制性标准要求判定。</w:t>
      </w:r>
    </w:p>
    <w:p w14:paraId="729BF7A3">
      <w:pPr>
        <w:pStyle w:val="2"/>
        <w:spacing w:line="400" w:lineRule="exact"/>
        <w:ind w:firstLine="420" w:firstLineChars="200"/>
        <w:rPr>
          <w:spacing w:val="-3"/>
        </w:rPr>
      </w:pPr>
      <w:r>
        <w:rPr>
          <w:rFonts w:cs="Calibri"/>
        </w:rPr>
        <w:t>若被检产品明示的质量要求缺少本细则中检验项目依据的推荐性标准要求时，该项目不参与判定。</w:t>
      </w:r>
    </w:p>
    <w:sectPr>
      <w:pgSz w:w="11910" w:h="16840"/>
      <w:pgMar w:top="1480" w:right="1600" w:bottom="280" w:left="1680" w:header="720" w:footer="72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script"/>
    <w:pitch w:val="default"/>
    <w:sig w:usb0="00000001" w:usb1="08000000" w:usb2="00000000" w:usb3="00000000" w:csb0="00040000" w:csb1="00000000"/>
  </w:font>
  <w:font w:name="WPSEMBED11">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720"/>
  <w:drawingGridHorizontalSpacing w:val="110"/>
  <w:displayHorizontalDrawingGridEvery w:val="2"/>
  <w:characterSpacingControl w:val="doNotCompress"/>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23A5"/>
    <w:rsid w:val="00335BB9"/>
    <w:rsid w:val="003F4E80"/>
    <w:rsid w:val="007434E5"/>
    <w:rsid w:val="008950CD"/>
    <w:rsid w:val="008B36CD"/>
    <w:rsid w:val="009F23A5"/>
    <w:rsid w:val="00A805BF"/>
    <w:rsid w:val="00AD6D78"/>
    <w:rsid w:val="00AF526F"/>
    <w:rsid w:val="00C66F82"/>
    <w:rsid w:val="00D76B3B"/>
    <w:rsid w:val="00DF423C"/>
    <w:rsid w:val="00F13C20"/>
    <w:rsid w:val="2D690864"/>
    <w:rsid w:val="36160961"/>
    <w:rsid w:val="5B7E1C5E"/>
    <w:rsid w:val="6BB451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1"/>
    <w:rPr>
      <w:sz w:val="21"/>
      <w:szCs w:val="21"/>
    </w:rPr>
  </w:style>
  <w:style w:type="paragraph" w:styleId="3">
    <w:name w:val="footer"/>
    <w:basedOn w:val="1"/>
    <w:link w:val="12"/>
    <w:unhideWhenUsed/>
    <w:qFormat/>
    <w:uiPriority w:val="99"/>
    <w:pPr>
      <w:tabs>
        <w:tab w:val="center" w:pos="4153"/>
        <w:tab w:val="right" w:pos="8306"/>
      </w:tabs>
      <w:snapToGrid w:val="0"/>
    </w:pPr>
    <w:rPr>
      <w:sz w:val="18"/>
      <w:szCs w:val="18"/>
    </w:rPr>
  </w:style>
  <w:style w:type="paragraph" w:styleId="4">
    <w:name w:val="header"/>
    <w:basedOn w:val="1"/>
    <w:link w:val="11"/>
    <w:unhideWhenUsed/>
    <w:uiPriority w:val="0"/>
    <w:pPr>
      <w:pBdr>
        <w:bottom w:val="single" w:color="auto" w:sz="6" w:space="1"/>
      </w:pBdr>
      <w:tabs>
        <w:tab w:val="center" w:pos="4153"/>
        <w:tab w:val="right" w:pos="8306"/>
      </w:tabs>
      <w:snapToGrid w:val="0"/>
      <w:jc w:val="center"/>
    </w:pPr>
    <w:rPr>
      <w:sz w:val="18"/>
      <w:szCs w:val="18"/>
    </w:rPr>
  </w:style>
  <w:style w:type="paragraph" w:styleId="5">
    <w:name w:val="Title"/>
    <w:basedOn w:val="1"/>
    <w:qFormat/>
    <w:uiPriority w:val="1"/>
    <w:pPr>
      <w:ind w:left="1487" w:right="1566"/>
      <w:jc w:val="center"/>
    </w:pPr>
    <w:rPr>
      <w:b/>
      <w:bCs/>
      <w:sz w:val="28"/>
      <w:szCs w:val="28"/>
    </w:rPr>
  </w:style>
  <w:style w:type="table" w:customStyle="1" w:styleId="8">
    <w:name w:val="Table Normal"/>
    <w:semiHidden/>
    <w:unhideWhenUsed/>
    <w:qFormat/>
    <w:uiPriority w:val="2"/>
    <w:tblPr>
      <w:tblCellMar>
        <w:top w:w="0" w:type="dxa"/>
        <w:left w:w="0" w:type="dxa"/>
        <w:bottom w:w="0" w:type="dxa"/>
        <w:right w:w="0" w:type="dxa"/>
      </w:tblCellMar>
    </w:tblPr>
  </w:style>
  <w:style w:type="paragraph" w:styleId="9">
    <w:name w:val="List Paragraph"/>
    <w:basedOn w:val="1"/>
    <w:qFormat/>
    <w:uiPriority w:val="1"/>
    <w:pPr>
      <w:ind w:left="487" w:hanging="368"/>
    </w:pPr>
  </w:style>
  <w:style w:type="paragraph" w:customStyle="1" w:styleId="10">
    <w:name w:val="Table Paragraph"/>
    <w:basedOn w:val="1"/>
    <w:qFormat/>
    <w:uiPriority w:val="1"/>
    <w:pPr>
      <w:spacing w:before="68"/>
      <w:ind w:left="10"/>
      <w:jc w:val="center"/>
    </w:pPr>
  </w:style>
  <w:style w:type="character" w:customStyle="1" w:styleId="11">
    <w:name w:val="页眉 Char"/>
    <w:basedOn w:val="7"/>
    <w:link w:val="4"/>
    <w:qFormat/>
    <w:uiPriority w:val="99"/>
    <w:rPr>
      <w:rFonts w:ascii="宋体" w:hAnsi="宋体" w:eastAsia="宋体" w:cs="宋体"/>
      <w:sz w:val="18"/>
      <w:szCs w:val="18"/>
      <w:lang w:eastAsia="zh-CN"/>
    </w:rPr>
  </w:style>
  <w:style w:type="character" w:customStyle="1" w:styleId="12">
    <w:name w:val="页脚 Char"/>
    <w:basedOn w:val="7"/>
    <w:link w:val="3"/>
    <w:qFormat/>
    <w:uiPriority w:val="99"/>
    <w:rPr>
      <w:rFonts w:ascii="宋体" w:hAnsi="宋体" w:eastAsia="宋体" w:cs="宋体"/>
      <w:sz w:val="18"/>
      <w:szCs w:val="18"/>
      <w:lang w:eastAsia="zh-C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616</Words>
  <Characters>688</Characters>
  <Lines>5</Lines>
  <Paragraphs>1</Paragraphs>
  <TotalTime>22</TotalTime>
  <ScaleCrop>false</ScaleCrop>
  <LinksUpToDate>false</LinksUpToDate>
  <CharactersWithSpaces>709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2024-02-06T05:49:00Z</dcterms:created>
  <dc:creator>张晨艺</dc:creator>
  <cp:lastModifiedBy>信号灯</cp:lastModifiedBy>
  <dcterms:modified xsi:type="dcterms:W3CDTF">2026-03-03T06:55:52Z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2024-02-01T00:00:00Z</vt:filetime>
  </property>
  <property fmtid="{D5CDD505-2E9C-101B-9397-08002B2CF9AE}" pid="3" name="Creator">
    <vt:lpwstr>WPS 文字</vt:lpwstr>
  </property>
  <property fmtid="{D5CDD505-2E9C-101B-9397-08002B2CF9AE}" pid="4" name="LastSaved">
    <vt:filetime>2024-02-06T00:00:00Z</vt:filetime>
  </property>
  <property fmtid="{D5CDD505-2E9C-101B-9397-08002B2CF9AE}" pid="5" name="SourceModified">
    <vt:lpwstr>D:20240201222815+14'28'</vt:lpwstr>
  </property>
  <property fmtid="{D5CDD505-2E9C-101B-9397-08002B2CF9AE}" pid="6" name="KSOTemplateDocerSaveRecord">
    <vt:lpwstr>eyJoZGlkIjoiYTk1YmEyNzVlZjI1ZTk1NTEzMGNlZGFlYWFkNDJjNmQiLCJ1c2VySWQiOiI0Mzk3Mzg3MTcifQ==</vt:lpwstr>
  </property>
  <property fmtid="{D5CDD505-2E9C-101B-9397-08002B2CF9AE}" pid="7" name="KSOProductBuildVer">
    <vt:lpwstr>2052-12.1.0.24657</vt:lpwstr>
  </property>
  <property fmtid="{D5CDD505-2E9C-101B-9397-08002B2CF9AE}" pid="8" name="ICV">
    <vt:lpwstr>9672624528954AF484369CC1F0553404_13</vt:lpwstr>
  </property>
</Properties>
</file>