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Ascii"/>
          <w:sz w:val="52"/>
          <w:szCs w:val="52"/>
          <w:lang w:val="en-US" w:eastAsia="zh-CN"/>
        </w:rPr>
      </w:pPr>
      <w:r>
        <w:rPr>
          <w:rFonts w:hint="eastAsia" w:asciiTheme="majorAscii"/>
          <w:sz w:val="52"/>
          <w:szCs w:val="52"/>
          <w:lang w:val="en-US" w:eastAsia="zh-CN"/>
        </w:rPr>
        <w:t xml:space="preserve">                          </w:t>
      </w:r>
      <w:r>
        <w:drawing>
          <wp:inline distT="0" distB="0" distL="114300" distR="114300">
            <wp:extent cx="664845" cy="668655"/>
            <wp:effectExtent l="0" t="0" r="1905" b="17145"/>
            <wp:docPr id="20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 name="Picture 2"/>
                    <pic:cNvPicPr>
                      <a:picLocks noChangeAspect="1"/>
                    </pic:cNvPicPr>
                  </pic:nvPicPr>
                  <pic:blipFill>
                    <a:blip r:embed="rId6"/>
                    <a:stretch>
                      <a:fillRect/>
                    </a:stretch>
                  </pic:blipFill>
                  <pic:spPr>
                    <a:xfrm>
                      <a:off x="0" y="0"/>
                      <a:ext cx="664845" cy="668655"/>
                    </a:xfrm>
                    <a:prstGeom prst="rect">
                      <a:avLst/>
                    </a:prstGeom>
                    <a:noFill/>
                    <a:ln w="1">
                      <a:noFill/>
                    </a:ln>
                  </pic:spPr>
                </pic:pic>
              </a:graphicData>
            </a:graphic>
          </wp:inline>
        </w:drawing>
      </w:r>
      <w:r>
        <w:rPr>
          <w:rFonts w:hint="eastAsia" w:asciiTheme="majorAscii"/>
          <w:sz w:val="52"/>
          <w:szCs w:val="52"/>
          <w:lang w:val="en-US" w:eastAsia="zh-CN"/>
        </w:rPr>
        <w:t xml:space="preserve">        </w:t>
      </w:r>
    </w:p>
    <w:p>
      <w:pPr>
        <w:jc w:val="center"/>
        <w:rPr>
          <w:rFonts w:hint="eastAsia" w:asciiTheme="majorAscii"/>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bCs/>
          <w:color w:val="auto"/>
          <w:spacing w:val="0"/>
          <w:w w:val="100"/>
          <w:kern w:val="0"/>
          <w:sz w:val="44"/>
          <w:szCs w:val="44"/>
          <w:fitText w:val="8505" w:id="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bCs/>
          <w:color w:val="auto"/>
          <w:spacing w:val="0"/>
          <w:w w:val="100"/>
          <w:kern w:val="0"/>
          <w:sz w:val="44"/>
          <w:szCs w:val="44"/>
          <w:fitText w:val="8505" w:id="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auto"/>
          <w:spacing w:val="0"/>
          <w:w w:val="100"/>
          <w:kern w:val="0"/>
          <w:sz w:val="44"/>
          <w:szCs w:val="44"/>
          <w:fitText w:val="8505" w:id="2"/>
          <w:lang w:val="en-US" w:eastAsia="zh-CN"/>
        </w:rPr>
      </w:pPr>
      <w:r>
        <w:rPr>
          <w:rFonts w:hint="eastAsia" w:ascii="方正小标宋简体" w:hAnsi="方正小标宋简体" w:eastAsia="方正小标宋简体" w:cs="方正小标宋简体"/>
          <w:bCs/>
          <w:color w:val="auto"/>
          <w:spacing w:val="0"/>
          <w:w w:val="100"/>
          <w:kern w:val="0"/>
          <w:sz w:val="44"/>
          <w:szCs w:val="44"/>
          <w:fitText w:val="8505" w:id="2"/>
        </w:rPr>
        <w:t>青岛市电梯</w:t>
      </w:r>
      <w:r>
        <w:rPr>
          <w:rFonts w:hint="eastAsia" w:ascii="方正小标宋简体" w:hAnsi="方正小标宋简体" w:eastAsia="方正小标宋简体" w:cs="方正小标宋简体"/>
          <w:bCs/>
          <w:color w:val="auto"/>
          <w:spacing w:val="0"/>
          <w:w w:val="100"/>
          <w:kern w:val="0"/>
          <w:sz w:val="44"/>
          <w:szCs w:val="44"/>
          <w:fitText w:val="8505" w:id="2"/>
          <w:lang w:val="en-US" w:eastAsia="zh-CN"/>
        </w:rPr>
        <w:t>应急处置服务平台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auto"/>
          <w:spacing w:val="0"/>
          <w:w w:val="100"/>
          <w:kern w:val="0"/>
          <w:sz w:val="44"/>
          <w:szCs w:val="44"/>
          <w:fitText w:val="8505" w:id="3"/>
          <w:lang w:val="en-US" w:eastAsia="zh-CN"/>
        </w:rPr>
      </w:pPr>
      <w:r>
        <w:rPr>
          <w:rFonts w:hint="eastAsia" w:ascii="方正小标宋简体" w:hAnsi="方正小标宋简体" w:eastAsia="方正小标宋简体" w:cs="方正小标宋简体"/>
          <w:bCs/>
          <w:color w:val="auto"/>
          <w:spacing w:val="0"/>
          <w:w w:val="100"/>
          <w:kern w:val="0"/>
          <w:sz w:val="44"/>
          <w:szCs w:val="44"/>
          <w:fitText w:val="8505" w:id="3"/>
          <w:lang w:val="en-US" w:eastAsia="zh-CN"/>
        </w:rPr>
        <w:t>2020年上半年公开数据</w:t>
      </w: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center"/>
        <w:rPr>
          <w:rFonts w:hint="default"/>
          <w:lang w:val="en-US" w:eastAsia="zh-CN"/>
        </w:rPr>
      </w:pPr>
    </w:p>
    <w:p>
      <w:pPr>
        <w:jc w:val="both"/>
        <w:rPr>
          <w:rFonts w:hint="default"/>
          <w:lang w:val="en-US" w:eastAsia="zh-CN"/>
        </w:rPr>
      </w:pPr>
    </w:p>
    <w:p>
      <w:pPr>
        <w:jc w:val="both"/>
        <w:rPr>
          <w:rFonts w:hint="default"/>
          <w:lang w:val="en-US" w:eastAsia="zh-CN"/>
        </w:rPr>
      </w:pPr>
    </w:p>
    <w:p>
      <w:pPr>
        <w:jc w:val="center"/>
        <w:rPr>
          <w:rFonts w:hint="default"/>
          <w:lang w:val="en-US" w:eastAsia="zh-CN"/>
        </w:rPr>
      </w:pPr>
    </w:p>
    <w:p>
      <w:pPr>
        <w:ind w:firstLine="420" w:firstLineChars="200"/>
        <w:jc w:val="both"/>
        <w:rPr>
          <w:rFonts w:hint="default" w:ascii="方正小标宋简体" w:hAnsi="方正小标宋简体" w:eastAsia="方正小标宋简体" w:cs="方正小标宋简体"/>
          <w:sz w:val="21"/>
          <w:szCs w:val="21"/>
          <w:u w:val="none"/>
          <w:lang w:val="en-US" w:eastAsia="zh-CN"/>
        </w:rPr>
      </w:pPr>
      <w:r>
        <w:rPr>
          <w:rFonts w:hint="eastAsia" w:ascii="方正小标宋简体" w:hAnsi="方正小标宋简体" w:eastAsia="方正小标宋简体" w:cs="方正小标宋简体"/>
          <w:sz w:val="21"/>
          <w:szCs w:val="21"/>
          <w:u w:val="single"/>
          <w:lang w:val="en-US" w:eastAsia="zh-CN"/>
        </w:rPr>
        <w:t>青岛市电梯安全应急和监控中心                             2020年7月10日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bCs/>
          <w:color w:val="auto"/>
          <w:spacing w:val="0"/>
          <w:w w:val="100"/>
          <w:kern w:val="0"/>
          <w:sz w:val="44"/>
          <w:szCs w:val="44"/>
          <w:fitText w:val="8505" w:id="4"/>
        </w:rPr>
        <w:sectPr>
          <w:headerReference r:id="rId3" w:type="default"/>
          <w:footerReference r:id="rId4" w:type="default"/>
          <w:pgSz w:w="11906" w:h="16838"/>
          <w:pgMar w:top="2098" w:right="1474" w:bottom="1984" w:left="1587" w:header="851" w:footer="992" w:gutter="0"/>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华文中宋" w:eastAsia="方正小标宋简体"/>
          <w:bCs/>
          <w:color w:val="auto"/>
          <w:spacing w:val="0"/>
          <w:w w:val="100"/>
          <w:kern w:val="0"/>
          <w:sz w:val="44"/>
          <w:szCs w:val="44"/>
          <w:fitText w:val="8505" w:id="5"/>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青岛市电梯应急处置服务平台96333热线2020年上半年共接听电话3985</w:t>
      </w:r>
      <w:r>
        <w:rPr>
          <w:rFonts w:hint="eastAsia" w:ascii="仿宋_GB2312" w:hAnsi="仿宋_GB2312" w:eastAsia="仿宋_GB2312" w:cs="仿宋_GB2312"/>
          <w:b w:val="0"/>
          <w:bCs w:val="0"/>
          <w:color w:val="auto"/>
          <w:sz w:val="32"/>
          <w:szCs w:val="32"/>
          <w:u w:val="none"/>
          <w:lang w:val="en-US" w:eastAsia="zh-CN"/>
        </w:rPr>
        <w:t>通，</w:t>
      </w:r>
      <w:r>
        <w:rPr>
          <w:rFonts w:hint="eastAsia" w:ascii="仿宋_GB2312" w:hAnsi="仿宋_GB2312" w:eastAsia="仿宋_GB2312" w:cs="仿宋_GB2312"/>
          <w:color w:val="auto"/>
          <w:sz w:val="32"/>
          <w:szCs w:val="32"/>
          <w:u w:val="none"/>
          <w:lang w:val="en-US" w:eastAsia="zh-CN"/>
        </w:rPr>
        <w:t>处置电梯困人故障592起（含停电困人99起），同比下降23.9%，解救乘梯被困人员1033人。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我市在用电梯总量达6.8万余台，在用电梯数量同比增长11.11%。救援人员到达现场平均用时8.39分钟（用时同比减少13.68%）,低于标准规定的30分钟到达现场的时间要求，现场平均救援时间5.85分钟。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黑体" w:hAnsi="黑体" w:eastAsia="黑体" w:cs="黑体"/>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default"/>
          <w:lang w:val="en-US"/>
        </w:rPr>
      </w:pPr>
      <w:r>
        <w:rPr>
          <w:rFonts w:hint="eastAsia" w:ascii="黑体" w:hAnsi="黑体" w:eastAsia="黑体" w:cs="黑体"/>
          <w:color w:val="auto"/>
          <w:sz w:val="32"/>
          <w:szCs w:val="32"/>
          <w:u w:val="none"/>
          <w:lang w:val="en-US" w:eastAsia="zh-CN"/>
        </w:rPr>
        <w:t>96333电梯应急处置服务平台运行数据统计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按照使用单位性质统计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上半年平台处置的电梯困人故障中，住宅335起，办公楼宇76起，商场超市27起，宾馆饭店13起，医院15起，学校3起，交通场所3起，文体娱场馆1起，其他场所20起，目前我市住在电梯数量达3.9万余台，住宅电梯困人故障占电梯困人总起数的67.95</w:t>
      </w:r>
      <w:r>
        <w:rPr>
          <w:rFonts w:hint="eastAsia" w:ascii="仿宋_GB2312" w:hAnsi="仿宋_GB2312" w:eastAsia="仿宋_GB2312" w:cs="仿宋_GB2312"/>
          <w:color w:val="auto"/>
          <w:sz w:val="32"/>
          <w:szCs w:val="32"/>
          <w:lang w:val="en-US" w:eastAsia="zh-CN"/>
        </w:rPr>
        <w:t>%，其次</w:t>
      </w:r>
      <w:r>
        <w:rPr>
          <w:rFonts w:hint="eastAsia" w:ascii="仿宋_GB2312" w:hAnsi="仿宋_GB2312" w:eastAsia="仿宋_GB2312" w:cs="仿宋_GB2312"/>
          <w:sz w:val="32"/>
          <w:szCs w:val="32"/>
          <w:lang w:val="en-US" w:eastAsia="zh-CN"/>
        </w:rPr>
        <w:t>是办公楼宇、商场超市。</w:t>
      </w: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p>
    <w:p>
      <w:pPr>
        <w:numPr>
          <w:ilvl w:val="0"/>
          <w:numId w:val="0"/>
        </w:numPr>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（二）电梯困人故障时间段统计</w:t>
      </w:r>
    </w:p>
    <w:p>
      <w:pPr>
        <w:keepNext w:val="0"/>
        <w:keepLines w:val="0"/>
        <w:widowControl/>
        <w:suppressLineNumbers w:val="0"/>
        <w:jc w:val="left"/>
      </w:pPr>
      <w:r>
        <w:rPr>
          <w:rFonts w:hint="eastAsia" w:eastAsia="宋体"/>
          <w:lang w:eastAsia="zh-CN"/>
        </w:rPr>
        <w:drawing>
          <wp:inline distT="0" distB="0" distL="114300" distR="114300">
            <wp:extent cx="5457190" cy="3580130"/>
            <wp:effectExtent l="0" t="0" r="10160" b="1270"/>
            <wp:docPr id="4" name="图片 4" descr="1595555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5555615(1)"/>
                    <pic:cNvPicPr>
                      <a:picLocks noChangeAspect="1"/>
                    </pic:cNvPicPr>
                  </pic:nvPicPr>
                  <pic:blipFill>
                    <a:blip r:embed="rId7"/>
                    <a:stretch>
                      <a:fillRect/>
                    </a:stretch>
                  </pic:blipFill>
                  <pic:spPr>
                    <a:xfrm>
                      <a:off x="0" y="0"/>
                      <a:ext cx="5457190" cy="3580130"/>
                    </a:xfrm>
                    <a:prstGeom prst="rect">
                      <a:avLst/>
                    </a:prstGeom>
                  </pic:spPr>
                </pic:pic>
              </a:graphicData>
            </a:graphic>
          </wp:inline>
        </w:drawing>
      </w:r>
    </w:p>
    <w:p>
      <w:pPr>
        <w:numPr>
          <w:ilvl w:val="0"/>
          <w:numId w:val="0"/>
        </w:num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仿宋_GB2312" w:cs="楷体_GB2312"/>
          <w:sz w:val="32"/>
          <w:szCs w:val="32"/>
          <w:lang w:val="en-US" w:eastAsia="zh-CN"/>
        </w:rPr>
      </w:pPr>
      <w:r>
        <w:rPr>
          <w:rFonts w:hint="eastAsia" w:ascii="仿宋_GB2312" w:hAnsi="仿宋_GB2312" w:eastAsia="仿宋_GB2312" w:cs="仿宋_GB2312"/>
          <w:sz w:val="32"/>
          <w:szCs w:val="32"/>
          <w:lang w:val="en-US" w:eastAsia="zh-CN"/>
        </w:rPr>
        <w:t>2020年上半年处置的电梯困人时间段统计显示白天以及</w:t>
      </w:r>
      <w:r>
        <w:rPr>
          <w:rFonts w:hint="eastAsia" w:ascii="仿宋_GB2312" w:hAnsi="仿宋_GB2312" w:eastAsia="仿宋_GB2312" w:cs="仿宋_GB2312"/>
          <w:sz w:val="32"/>
          <w:szCs w:val="32"/>
        </w:rPr>
        <w:t>上下班高峰期</w:t>
      </w:r>
      <w:r>
        <w:rPr>
          <w:rFonts w:hint="eastAsia" w:ascii="仿宋_GB2312" w:hAnsi="仿宋_GB2312" w:eastAsia="仿宋_GB2312" w:cs="仿宋_GB2312"/>
          <w:sz w:val="32"/>
          <w:szCs w:val="32"/>
          <w:lang w:val="en-US" w:eastAsia="zh-CN"/>
        </w:rPr>
        <w:t>困人比较集中，从柱状图可以看出上午6时至晚22时困人情况较为明显。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color w:val="auto"/>
          <w:sz w:val="32"/>
          <w:szCs w:val="32"/>
          <w:lang w:val="en-US" w:eastAsia="zh-CN"/>
        </w:rPr>
        <w:t>（三）总困人故障率前二十位电梯维保单位</w:t>
      </w:r>
      <w:r>
        <w:rPr>
          <w:rFonts w:hint="eastAsia" w:ascii="仿宋_GB2312" w:hAnsi="仿宋_GB2312" w:eastAsia="仿宋_GB2312" w:cs="仿宋_GB2312"/>
          <w:color w:val="auto"/>
          <w:sz w:val="21"/>
          <w:szCs w:val="21"/>
          <w:u w:val="none"/>
          <w:lang w:val="en-US" w:eastAsia="zh-CN"/>
        </w:rPr>
        <w:t>（以平台运行数据统计为准，电梯数量不含自动扶梯、人行道、杂物梯，所列困人故障起数不含停电故障起数）</w:t>
      </w:r>
    </w:p>
    <w:tbl>
      <w:tblPr>
        <w:tblStyle w:val="6"/>
        <w:tblW w:w="8805" w:type="dxa"/>
        <w:tblInd w:w="0" w:type="dxa"/>
        <w:shd w:val="clear" w:color="auto" w:fill="auto"/>
        <w:tblLayout w:type="autofit"/>
        <w:tblCellMar>
          <w:top w:w="0" w:type="dxa"/>
          <w:left w:w="0" w:type="dxa"/>
          <w:bottom w:w="0" w:type="dxa"/>
          <w:right w:w="0" w:type="dxa"/>
        </w:tblCellMar>
      </w:tblPr>
      <w:tblGrid>
        <w:gridCol w:w="517"/>
        <w:gridCol w:w="3635"/>
        <w:gridCol w:w="1034"/>
        <w:gridCol w:w="1034"/>
        <w:gridCol w:w="1034"/>
        <w:gridCol w:w="1551"/>
      </w:tblGrid>
      <w:tr>
        <w:tblPrEx>
          <w:shd w:val="clear" w:color="auto" w:fill="auto"/>
          <w:tblCellMar>
            <w:top w:w="0" w:type="dxa"/>
            <w:left w:w="0" w:type="dxa"/>
            <w:bottom w:w="0" w:type="dxa"/>
            <w:right w:w="0" w:type="dxa"/>
          </w:tblCellMar>
        </w:tblPrEx>
        <w:trPr>
          <w:trHeight w:val="600" w:hRule="atLeast"/>
        </w:trPr>
        <w:tc>
          <w:tcPr>
            <w:tcW w:w="517"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635"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电梯维保单位</w:t>
            </w:r>
          </w:p>
        </w:tc>
        <w:tc>
          <w:tcPr>
            <w:tcW w:w="1034"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维保电梯数量</w:t>
            </w:r>
          </w:p>
        </w:tc>
        <w:tc>
          <w:tcPr>
            <w:tcW w:w="1034"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困人故障起数</w:t>
            </w:r>
          </w:p>
        </w:tc>
        <w:tc>
          <w:tcPr>
            <w:tcW w:w="1034"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总故障率</w:t>
            </w:r>
          </w:p>
        </w:tc>
        <w:tc>
          <w:tcPr>
            <w:tcW w:w="1551"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平均到达时间</w:t>
            </w:r>
          </w:p>
        </w:tc>
      </w:tr>
      <w:tr>
        <w:tblPrEx>
          <w:tblCellMar>
            <w:top w:w="0" w:type="dxa"/>
            <w:left w:w="0" w:type="dxa"/>
            <w:bottom w:w="0" w:type="dxa"/>
            <w:right w:w="0" w:type="dxa"/>
          </w:tblCellMar>
        </w:tblPrEx>
        <w:trPr>
          <w:trHeight w:val="500" w:hRule="atLeast"/>
        </w:trPr>
        <w:tc>
          <w:tcPr>
            <w:tcW w:w="517"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35"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北京新维电梯管理有限责任公司</w:t>
            </w:r>
          </w:p>
        </w:tc>
        <w:tc>
          <w:tcPr>
            <w:tcW w:w="103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3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51"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林肯电梯（中国）有限公司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16.67%</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北京广日电梯服务中心</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青岛一凡电梯有限公司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9.92</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青岛乐吉产电有限公司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苏州江南嘉捷电梯有限公司青岛分公司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16.43</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青岛洲扬电梯设备有限公司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0.65</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东芝电梯（中国）有限公司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山东长城电梯有限公司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山东菱电电梯有限公司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8.65</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青岛金霖电梯工程有限公司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山东睿点机电工程有限公司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青岛菱迅电梯有限公司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青岛国岳电梯有限公司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15.45</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青岛海利山河机电工程有限公司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青岛圣达电梯有限公司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青岛富林特电梯有限公司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青岛青奥电梯有限公司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青岛安仁机电设备有限公司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济南菱讯电梯有限公司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r>
    </w:tbl>
    <w:p>
      <w:pPr>
        <w:numPr>
          <w:ilvl w:val="0"/>
          <w:numId w:val="2"/>
        </w:numPr>
        <w:ind w:firstLine="320" w:firstLineChars="1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总困人故障起数前二十位电梯维保单位</w:t>
      </w:r>
      <w:r>
        <w:rPr>
          <w:rFonts w:hint="eastAsia" w:ascii="仿宋_GB2312" w:hAnsi="仿宋_GB2312" w:eastAsia="仿宋_GB2312" w:cs="仿宋_GB2312"/>
          <w:color w:val="auto"/>
          <w:sz w:val="21"/>
          <w:szCs w:val="21"/>
          <w:u w:val="none"/>
          <w:lang w:val="en-US" w:eastAsia="zh-CN"/>
        </w:rPr>
        <w:t>（以平台运行数据统计为准，电梯数量不含自动扶梯、人行道、杂物梯，所列困人故障起数不含停电故障起数）</w:t>
      </w:r>
    </w:p>
    <w:tbl>
      <w:tblPr>
        <w:tblStyle w:val="6"/>
        <w:tblW w:w="8805" w:type="dxa"/>
        <w:tblInd w:w="0" w:type="dxa"/>
        <w:shd w:val="clear" w:color="auto" w:fill="auto"/>
        <w:tblLayout w:type="autofit"/>
        <w:tblCellMar>
          <w:top w:w="0" w:type="dxa"/>
          <w:left w:w="0" w:type="dxa"/>
          <w:bottom w:w="0" w:type="dxa"/>
          <w:right w:w="0" w:type="dxa"/>
        </w:tblCellMar>
      </w:tblPr>
      <w:tblGrid>
        <w:gridCol w:w="517"/>
        <w:gridCol w:w="3635"/>
        <w:gridCol w:w="1034"/>
        <w:gridCol w:w="1034"/>
        <w:gridCol w:w="1034"/>
        <w:gridCol w:w="1551"/>
      </w:tblGrid>
      <w:tr>
        <w:tblPrEx>
          <w:tblCellMar>
            <w:top w:w="0" w:type="dxa"/>
            <w:left w:w="0" w:type="dxa"/>
            <w:bottom w:w="0" w:type="dxa"/>
            <w:right w:w="0" w:type="dxa"/>
          </w:tblCellMar>
        </w:tblPrEx>
        <w:trPr>
          <w:trHeight w:val="600" w:hRule="atLeast"/>
        </w:trPr>
        <w:tc>
          <w:tcPr>
            <w:tcW w:w="517"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序号</w:t>
            </w:r>
          </w:p>
        </w:tc>
        <w:tc>
          <w:tcPr>
            <w:tcW w:w="3635"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电梯维保单位</w:t>
            </w:r>
          </w:p>
        </w:tc>
        <w:tc>
          <w:tcPr>
            <w:tcW w:w="1034"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维保电梯数量</w:t>
            </w:r>
          </w:p>
        </w:tc>
        <w:tc>
          <w:tcPr>
            <w:tcW w:w="1034"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困人故障起数</w:t>
            </w:r>
          </w:p>
        </w:tc>
        <w:tc>
          <w:tcPr>
            <w:tcW w:w="1034"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总困人率</w:t>
            </w:r>
          </w:p>
        </w:tc>
        <w:tc>
          <w:tcPr>
            <w:tcW w:w="1551" w:type="dxa"/>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平均到达时间</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35"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通力电梯有限公司青岛分公司</w:t>
            </w:r>
          </w:p>
        </w:tc>
        <w:tc>
          <w:tcPr>
            <w:tcW w:w="103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5553</w:t>
            </w:r>
          </w:p>
        </w:tc>
        <w:tc>
          <w:tcPr>
            <w:tcW w:w="103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3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0.47%</w:t>
            </w:r>
          </w:p>
        </w:tc>
        <w:tc>
          <w:tcPr>
            <w:tcW w:w="1551"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青岛建合机电设备有限公司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奥的斯电梯（中国）有限公司青岛分公司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上海三菱电梯有限公司青岛分公司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蒂森电梯有限公司青岛分公司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841</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奥的斯机电电梯有限公司山东分公司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2185</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0.64%</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青岛日日顺蔚蓝机电设备有限公司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8.37</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青岛川合电梯工程有限公司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青岛亨镇涛电梯有限公司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1627</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0.74%</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日立电梯(中国）有限公司青岛分公司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8.22</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青岛安达电梯有限公司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青岛德奥电梯有限公司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青岛菱迅电梯有限公司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8.17</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青岛立泰机电设备有限公司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10.08</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青岛维特电梯有限公司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迅达（中国）电梯有限公司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0.68%</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10.05</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青岛鲁菱电梯工程有限公司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1702</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青岛众合昇达机电设备工程有限公司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r>
      <w:tr>
        <w:tblPrEx>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635"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青岛鲁德帝奥电梯有限公司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3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551"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r>
      <w:tr>
        <w:tblPrEx>
          <w:shd w:val="clear" w:color="auto" w:fill="auto"/>
          <w:tblCellMar>
            <w:top w:w="0" w:type="dxa"/>
            <w:left w:w="0" w:type="dxa"/>
            <w:bottom w:w="0" w:type="dxa"/>
            <w:right w:w="0" w:type="dxa"/>
          </w:tblCellMar>
        </w:tblPrEx>
        <w:trPr>
          <w:trHeight w:val="500" w:hRule="atLeast"/>
        </w:trPr>
        <w:tc>
          <w:tcPr>
            <w:tcW w:w="517"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635"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青岛新安元工程有限公司</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3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551"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r>
    </w:tbl>
    <w:p>
      <w:pPr>
        <w:numPr>
          <w:ilvl w:val="0"/>
          <w:numId w:val="0"/>
        </w:numPr>
        <w:ind w:firstLine="960" w:firstLineChars="3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困人起数前20榜单中企业基本为我市维保梯量较大的单位，其中总困人率最高的十家维保单位依次为青岛菱迅电梯有限公司（3.4%）、青岛建合机电设备有限公司（2.66%）、青岛立泰机电设备有限公司（2.21%）、青岛安达电梯有限公司（2.16%）、青岛众合昇达机电设备工程有限公司（1.86%）、青岛鲁德帝奥电梯有限公司（1.73%）、蒂森电梯有限公司青岛分公司（1.66%</w:t>
      </w:r>
      <w:bookmarkStart w:id="0" w:name="_GoBack"/>
      <w:bookmarkEnd w:id="0"/>
      <w:r>
        <w:rPr>
          <w:rFonts w:hint="eastAsia" w:ascii="楷体_GB2312" w:hAnsi="楷体_GB2312" w:eastAsia="楷体_GB2312" w:cs="楷体_GB2312"/>
          <w:sz w:val="32"/>
          <w:szCs w:val="32"/>
          <w:lang w:val="en-US" w:eastAsia="zh-CN"/>
        </w:rPr>
        <w:t>）、青岛新安元工程有限公司（1.63%）、青岛维特电梯有限公司（1.58%）、奥的斯电梯（中国）有限公司青岛分公司（1.57%）。</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320" w:firstLineChars="1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电梯困人故障起数前十项目</w:t>
      </w:r>
      <w:r>
        <w:rPr>
          <w:rFonts w:hint="eastAsia" w:ascii="仿宋_GB2312" w:hAnsi="仿宋_GB2312" w:eastAsia="仿宋_GB2312" w:cs="仿宋_GB2312"/>
          <w:color w:val="auto"/>
          <w:sz w:val="21"/>
          <w:szCs w:val="21"/>
          <w:u w:val="none"/>
          <w:lang w:val="en-US" w:eastAsia="zh-CN"/>
        </w:rPr>
        <w:t>（以平台运行数据统计为准，电梯数量不含自动扶梯、人行道、杂物梯，所列困人故障起数不含停电故障起数）</w:t>
      </w:r>
    </w:p>
    <w:tbl>
      <w:tblPr>
        <w:tblStyle w:val="6"/>
        <w:tblW w:w="8836" w:type="dxa"/>
        <w:tblInd w:w="0" w:type="dxa"/>
        <w:shd w:val="clear" w:color="auto" w:fill="auto"/>
        <w:tblLayout w:type="autofit"/>
        <w:tblCellMar>
          <w:top w:w="0" w:type="dxa"/>
          <w:left w:w="0" w:type="dxa"/>
          <w:bottom w:w="0" w:type="dxa"/>
          <w:right w:w="0" w:type="dxa"/>
        </w:tblCellMar>
      </w:tblPr>
      <w:tblGrid>
        <w:gridCol w:w="404"/>
        <w:gridCol w:w="871"/>
        <w:gridCol w:w="3263"/>
        <w:gridCol w:w="1834"/>
        <w:gridCol w:w="748"/>
        <w:gridCol w:w="1026"/>
        <w:gridCol w:w="690"/>
      </w:tblGrid>
      <w:tr>
        <w:tblPrEx>
          <w:shd w:val="clear" w:color="auto" w:fill="auto"/>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序号</w:t>
            </w:r>
          </w:p>
        </w:tc>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区域</w:t>
            </w:r>
          </w:p>
        </w:tc>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使用单位</w:t>
            </w:r>
          </w:p>
        </w:tc>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项目名称</w:t>
            </w:r>
          </w:p>
        </w:tc>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电梯数量</w:t>
            </w:r>
          </w:p>
        </w:tc>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困人故障起数</w:t>
            </w:r>
          </w:p>
        </w:tc>
        <w:tc>
          <w:tcPr>
            <w:tcW w:w="0" w:type="auto"/>
            <w:tcBorders>
              <w:top w:val="single" w:color="4F81BD" w:sz="8" w:space="0"/>
              <w:left w:val="single" w:color="4F81BD" w:sz="8" w:space="0"/>
              <w:bottom w:val="single" w:color="FFFFFF" w:sz="18" w:space="0"/>
              <w:right w:val="single" w:color="4F81BD" w:sz="8" w:space="0"/>
            </w:tcBorders>
            <w:shd w:val="clear" w:color="auto" w:fill="4F81BD"/>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FFFF"/>
                <w:sz w:val="22"/>
                <w:szCs w:val="22"/>
                <w:u w:val="none"/>
              </w:rPr>
            </w:pPr>
            <w:r>
              <w:rPr>
                <w:rFonts w:hint="eastAsia" w:ascii="宋体" w:hAnsi="宋体" w:eastAsia="宋体" w:cs="宋体"/>
                <w:i w:val="0"/>
                <w:color w:val="FFFFFF"/>
                <w:kern w:val="0"/>
                <w:sz w:val="22"/>
                <w:szCs w:val="22"/>
                <w:u w:val="none"/>
                <w:lang w:val="en-US" w:eastAsia="zh-CN" w:bidi="ar"/>
              </w:rPr>
              <w:t>困人率</w:t>
            </w:r>
          </w:p>
        </w:tc>
      </w:tr>
      <w:tr>
        <w:tblPrEx>
          <w:tblCellMar>
            <w:top w:w="0" w:type="dxa"/>
            <w:left w:w="0" w:type="dxa"/>
            <w:bottom w:w="0" w:type="dxa"/>
            <w:right w:w="0" w:type="dxa"/>
          </w:tblCellMar>
        </w:tblPrEx>
        <w:trPr>
          <w:trHeight w:val="646" w:hRule="atLeast"/>
        </w:trPr>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城阳区</w:t>
            </w:r>
          </w:p>
        </w:tc>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罗圈涧</w:t>
            </w:r>
          </w:p>
        </w:tc>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罗圈涧社区</w:t>
            </w:r>
          </w:p>
        </w:tc>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57.14%</w:t>
            </w:r>
          </w:p>
        </w:tc>
      </w:tr>
      <w:tr>
        <w:tblPrEx>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崂山区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青岛乐嘉物业发展有限公司河畔家园</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河畔家园</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r>
      <w:tr>
        <w:tblPrEx>
          <w:shd w:val="clear" w:color="auto" w:fill="auto"/>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西海岸新区</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石榴物业服务集团有限公司青岛分公司</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K2.海棠湾四期</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r>
      <w:tr>
        <w:tblPrEx>
          <w:shd w:val="clear" w:color="auto" w:fill="auto"/>
          <w:tblCellMar>
            <w:top w:w="0" w:type="dxa"/>
            <w:left w:w="0" w:type="dxa"/>
            <w:bottom w:w="0" w:type="dxa"/>
            <w:right w:w="0" w:type="dxa"/>
          </w:tblCellMar>
        </w:tblPrEx>
        <w:trPr>
          <w:trHeight w:val="537" w:hRule="atLeast"/>
        </w:trPr>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市南区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青岛中房物业管理有限公司</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云南路小区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r>
      <w:tr>
        <w:tblPrEx>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崂山区</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青岛长乐未央物业管理有限公司（长春花园）</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鲁信长春花园</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r>
      <w:tr>
        <w:tblPrEx>
          <w:shd w:val="clear" w:color="auto" w:fill="auto"/>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市北区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青岛市四方区中部房地产物业管理中心</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宜昌新苑</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17.65%</w:t>
            </w:r>
          </w:p>
        </w:tc>
      </w:tr>
      <w:tr>
        <w:tblPrEx>
          <w:shd w:val="clear" w:color="auto" w:fill="auto"/>
          <w:tblCellMar>
            <w:top w:w="0" w:type="dxa"/>
            <w:left w:w="0" w:type="dxa"/>
            <w:bottom w:w="0" w:type="dxa"/>
            <w:right w:w="0" w:type="dxa"/>
          </w:tblCellMar>
        </w:tblPrEx>
        <w:trPr>
          <w:trHeight w:val="537" w:hRule="atLeast"/>
        </w:trPr>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莱西市</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莱西市人民医院</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莱西市人民医院</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17.65%</w:t>
            </w:r>
          </w:p>
        </w:tc>
      </w:tr>
      <w:tr>
        <w:tblPrEx>
          <w:shd w:val="clear" w:color="auto" w:fill="auto"/>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市北区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青岛市市北区浮新小区业主委员会</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浮新小区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r>
      <w:tr>
        <w:tblPrEx>
          <w:shd w:val="clear" w:color="auto" w:fill="auto"/>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李沧区</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青岛奥克斯置业有限公司</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青岛奥克斯置业有限公司</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r>
      <w:tr>
        <w:tblPrEx>
          <w:tblCellMar>
            <w:top w:w="0" w:type="dxa"/>
            <w:left w:w="0" w:type="dxa"/>
            <w:bottom w:w="0" w:type="dxa"/>
            <w:right w:w="0" w:type="dxa"/>
          </w:tblCellMar>
        </w:tblPrEx>
        <w:trPr>
          <w:trHeight w:val="744" w:hRule="atLeast"/>
        </w:trPr>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西海岸新区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青岛中南物业管理有限公司</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中南金石国际广场</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w:t>
            </w:r>
          </w:p>
        </w:tc>
      </w:tr>
      <w:tr>
        <w:tblPrEx>
          <w:tblCellMar>
            <w:top w:w="0" w:type="dxa"/>
            <w:left w:w="0" w:type="dxa"/>
            <w:bottom w:w="0" w:type="dxa"/>
            <w:right w:w="0" w:type="dxa"/>
          </w:tblCellMar>
        </w:tblPrEx>
        <w:trPr>
          <w:trHeight w:val="624" w:hRule="atLeast"/>
        </w:trPr>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李沧区</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青岛双星物业管理有限公司</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金水龙泽苑东区</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（六）电梯困人故障原因分析及安全提示</w:t>
      </w:r>
    </w:p>
    <w:p>
      <w:pPr>
        <w:pStyle w:val="5"/>
        <w:spacing w:before="0" w:beforeAutospacing="0" w:after="0" w:afterAutospacing="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根据“96333”电梯应急处置平台数据统计，</w:t>
      </w:r>
      <w:r>
        <w:rPr>
          <w:rFonts w:hint="eastAsia" w:ascii="仿宋_GB2312" w:hAnsi="仿宋_GB2312" w:eastAsia="仿宋_GB2312" w:cs="仿宋_GB2312"/>
          <w:sz w:val="32"/>
          <w:szCs w:val="32"/>
          <w:lang w:val="en-US" w:eastAsia="zh-CN"/>
        </w:rPr>
        <w:t xml:space="preserve"> 2020年上半年共发生电梯困人故障592起，人为原因192起（占比32.43%），外部原因192起（占比32.43%），门系统89起（占比15.03%），上述三种故障原因占故障总数的79.90%。在外部原因当中主要因电梯在运行过程中出现的停电造成99起困人（占比16.72%），生活垃圾导致开关门受阻，电梯停止运行导致80起困人（占比13.51%），停电和异物阻门导致困人的情况较为突出。</w:t>
      </w:r>
    </w:p>
    <w:p>
      <w:pPr>
        <w:pStyle w:val="5"/>
        <w:spacing w:before="0" w:beforeAutospacing="0" w:after="0" w:afterAutospacing="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根据往年平台运行数据统计，三季度困人明显高于其他季度，夏季来临，进入用电高峰，</w:t>
      </w:r>
      <w:r>
        <w:rPr>
          <w:rFonts w:hint="eastAsia" w:ascii="仿宋_GB2312" w:hAnsi="仿宋_GB2312" w:eastAsia="仿宋_GB2312" w:cs="仿宋_GB2312"/>
          <w:kern w:val="2"/>
          <w:sz w:val="32"/>
          <w:szCs w:val="32"/>
          <w:lang w:val="en-US" w:eastAsia="zh-CN" w:bidi="ar-SA"/>
        </w:rPr>
        <w:t>电梯对供电条件要求比较高，电力系统的高负荷运行、电压不稳以及极端天气等都会导致供电的突然中断，这些都会使电梯变频器发生停梯保护，从而导致电梯困人或故障的发生。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为此，“96333”提醒广大市民及电梯使用单位、维保单位：</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夏季高温高湿，电梯故障高发易发，如遇被困电梯，要立即按下紧急报警按钮寻求帮助或拨打维保单位张贴于轿厢内的值守电话，在无法与外界取得联系的情况下还可拨打96333寻求正确的帮助，若发现电梯轿厢内无</w:t>
      </w:r>
      <w:r>
        <w:rPr>
          <w:rFonts w:hint="eastAsia" w:ascii="仿宋_GB2312" w:hAnsi="仿宋_GB2312" w:eastAsia="仿宋_GB2312" w:cs="仿宋_GB2312"/>
          <w:kern w:val="2"/>
          <w:sz w:val="32"/>
          <w:szCs w:val="32"/>
          <w:lang w:val="en-US" w:eastAsia="zh-CN" w:bidi="ar-SA"/>
        </w:rPr>
        <w:t>“96333”应急</w:t>
      </w:r>
      <w:r>
        <w:rPr>
          <w:rFonts w:hint="eastAsia" w:ascii="仿宋_GB2312" w:hAnsi="仿宋_GB2312" w:eastAsia="仿宋_GB2312" w:cs="仿宋_GB2312"/>
          <w:sz w:val="32"/>
          <w:szCs w:val="32"/>
          <w:lang w:val="en-US" w:eastAsia="zh-CN"/>
        </w:rPr>
        <w:t>救援短码，请提醒物业或维保单位尽快补领张贴。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请文明使用电梯，不要往电梯内丢弃生活、建筑垃圾，不要将电动自行车等车辆推进电梯，不要在电梯内扒门和撬门，不要在进出电梯时玩弄手机，门打开细巡视，轿厢平层再步入，进出门要提速，勿用手足挡门。做到文明乘梯，安全乘梯。</w:t>
      </w:r>
    </w:p>
    <w:p>
      <w:pPr>
        <w:pStyle w:val="5"/>
        <w:spacing w:before="0" w:beforeAutospacing="0" w:after="0" w:afterAutospacing="0"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电梯维保单位在日常保养电梯时应注意检查电梯供电系统，如发现电梯电压不稳定，务必立即与使用单位反映情况，协调解决问题；电梯使用单位不应随意增加高负荷用电设备，防止停电跳闸；使用单位也可以根据实际需要加装电梯停电应急平层装置以及电梯备用电源，停电时电梯可自动运行至平层位置开门；新建楼盘也应该尽早更换临时电，并针对小区停电提前做好应急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EE08E"/>
    <w:multiLevelType w:val="singleLevel"/>
    <w:tmpl w:val="C53EE08E"/>
    <w:lvl w:ilvl="0" w:tentative="0">
      <w:start w:val="4"/>
      <w:numFmt w:val="chineseCounting"/>
      <w:suff w:val="nothing"/>
      <w:lvlText w:val="（%1）"/>
      <w:lvlJc w:val="left"/>
      <w:rPr>
        <w:rFonts w:hint="eastAsia"/>
      </w:rPr>
    </w:lvl>
  </w:abstractNum>
  <w:abstractNum w:abstractNumId="1">
    <w:nsid w:val="4B11556F"/>
    <w:multiLevelType w:val="singleLevel"/>
    <w:tmpl w:val="4B11556F"/>
    <w:lvl w:ilvl="0" w:tentative="0">
      <w:start w:val="1"/>
      <w:numFmt w:val="chineseCounting"/>
      <w:suff w:val="nothing"/>
      <w:lvlText w:val="（%1）"/>
      <w:lvlJc w:val="left"/>
      <w:rPr>
        <w:rFonts w:hint="eastAsia"/>
      </w:rPr>
    </w:lvl>
  </w:abstractNum>
  <w:abstractNum w:abstractNumId="2">
    <w:nsid w:val="7A468894"/>
    <w:multiLevelType w:val="singleLevel"/>
    <w:tmpl w:val="7A468894"/>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F2"/>
    <w:rsid w:val="00011DE3"/>
    <w:rsid w:val="00027239"/>
    <w:rsid w:val="00032F75"/>
    <w:rsid w:val="00065DF7"/>
    <w:rsid w:val="000A42D9"/>
    <w:rsid w:val="000E0B78"/>
    <w:rsid w:val="0012166A"/>
    <w:rsid w:val="00125864"/>
    <w:rsid w:val="00141CC6"/>
    <w:rsid w:val="00187182"/>
    <w:rsid w:val="001D711F"/>
    <w:rsid w:val="002058CF"/>
    <w:rsid w:val="00243ED0"/>
    <w:rsid w:val="002560FD"/>
    <w:rsid w:val="0036665C"/>
    <w:rsid w:val="003E6C87"/>
    <w:rsid w:val="004103E0"/>
    <w:rsid w:val="00440D9F"/>
    <w:rsid w:val="004D73FD"/>
    <w:rsid w:val="004F4D98"/>
    <w:rsid w:val="00504DC9"/>
    <w:rsid w:val="005129DD"/>
    <w:rsid w:val="00516FA6"/>
    <w:rsid w:val="00592F0E"/>
    <w:rsid w:val="00596520"/>
    <w:rsid w:val="00597850"/>
    <w:rsid w:val="005F6C3F"/>
    <w:rsid w:val="00605E2E"/>
    <w:rsid w:val="00616B21"/>
    <w:rsid w:val="0064525A"/>
    <w:rsid w:val="006B0002"/>
    <w:rsid w:val="006B3FF3"/>
    <w:rsid w:val="0075592F"/>
    <w:rsid w:val="007F60D9"/>
    <w:rsid w:val="0082159F"/>
    <w:rsid w:val="0085741B"/>
    <w:rsid w:val="00875500"/>
    <w:rsid w:val="008D76DF"/>
    <w:rsid w:val="008F1777"/>
    <w:rsid w:val="008F6DB0"/>
    <w:rsid w:val="00904981"/>
    <w:rsid w:val="00911FEF"/>
    <w:rsid w:val="00927316"/>
    <w:rsid w:val="00971D7D"/>
    <w:rsid w:val="009A6F2B"/>
    <w:rsid w:val="009C5863"/>
    <w:rsid w:val="009D0316"/>
    <w:rsid w:val="009E74DF"/>
    <w:rsid w:val="00A31447"/>
    <w:rsid w:val="00A40809"/>
    <w:rsid w:val="00AE14C8"/>
    <w:rsid w:val="00AF200A"/>
    <w:rsid w:val="00B10EF2"/>
    <w:rsid w:val="00B72CCB"/>
    <w:rsid w:val="00B75644"/>
    <w:rsid w:val="00B85675"/>
    <w:rsid w:val="00B963A4"/>
    <w:rsid w:val="00BA2912"/>
    <w:rsid w:val="00BA59F2"/>
    <w:rsid w:val="00BB07F6"/>
    <w:rsid w:val="00BE25F8"/>
    <w:rsid w:val="00C62AAE"/>
    <w:rsid w:val="00C80F5E"/>
    <w:rsid w:val="00D519E0"/>
    <w:rsid w:val="00D620B0"/>
    <w:rsid w:val="00E35BC2"/>
    <w:rsid w:val="00E910B0"/>
    <w:rsid w:val="00EA6221"/>
    <w:rsid w:val="00F170B1"/>
    <w:rsid w:val="00F33884"/>
    <w:rsid w:val="00F67420"/>
    <w:rsid w:val="00F83288"/>
    <w:rsid w:val="00FB27BE"/>
    <w:rsid w:val="00FD4200"/>
    <w:rsid w:val="01DF4C2C"/>
    <w:rsid w:val="03F9139C"/>
    <w:rsid w:val="05846A0C"/>
    <w:rsid w:val="06B036A6"/>
    <w:rsid w:val="078536A5"/>
    <w:rsid w:val="085D62CA"/>
    <w:rsid w:val="0A8750F0"/>
    <w:rsid w:val="0B1B5ED5"/>
    <w:rsid w:val="0CEB75EE"/>
    <w:rsid w:val="0D6269DD"/>
    <w:rsid w:val="0E587758"/>
    <w:rsid w:val="0E900777"/>
    <w:rsid w:val="0FC95C1A"/>
    <w:rsid w:val="13E16BEB"/>
    <w:rsid w:val="15A067DE"/>
    <w:rsid w:val="15B557E1"/>
    <w:rsid w:val="165D4FAA"/>
    <w:rsid w:val="16CC0279"/>
    <w:rsid w:val="18C32883"/>
    <w:rsid w:val="19763D3B"/>
    <w:rsid w:val="1DE06D69"/>
    <w:rsid w:val="1F0D41F6"/>
    <w:rsid w:val="1F836720"/>
    <w:rsid w:val="20C84BA0"/>
    <w:rsid w:val="21CA168C"/>
    <w:rsid w:val="23212E61"/>
    <w:rsid w:val="264158CD"/>
    <w:rsid w:val="269619F9"/>
    <w:rsid w:val="26E06333"/>
    <w:rsid w:val="2AF026B9"/>
    <w:rsid w:val="2B4577D9"/>
    <w:rsid w:val="2E0D4304"/>
    <w:rsid w:val="300B0431"/>
    <w:rsid w:val="302A47B9"/>
    <w:rsid w:val="329368D3"/>
    <w:rsid w:val="33375F59"/>
    <w:rsid w:val="33D77261"/>
    <w:rsid w:val="346C1E49"/>
    <w:rsid w:val="34C567E7"/>
    <w:rsid w:val="36885C21"/>
    <w:rsid w:val="37283B90"/>
    <w:rsid w:val="37461ED9"/>
    <w:rsid w:val="38B40392"/>
    <w:rsid w:val="3B3A590F"/>
    <w:rsid w:val="3BA631D3"/>
    <w:rsid w:val="3C8201E1"/>
    <w:rsid w:val="3E0A3B49"/>
    <w:rsid w:val="42013305"/>
    <w:rsid w:val="44B51944"/>
    <w:rsid w:val="44DA1E25"/>
    <w:rsid w:val="463A2F58"/>
    <w:rsid w:val="479F2317"/>
    <w:rsid w:val="487368F8"/>
    <w:rsid w:val="49107265"/>
    <w:rsid w:val="4AFE3C96"/>
    <w:rsid w:val="4BDB26AE"/>
    <w:rsid w:val="4CF176D7"/>
    <w:rsid w:val="4D760E8E"/>
    <w:rsid w:val="4DE364B3"/>
    <w:rsid w:val="4E5F5031"/>
    <w:rsid w:val="4F22557F"/>
    <w:rsid w:val="4F3B2D58"/>
    <w:rsid w:val="50123C38"/>
    <w:rsid w:val="515445E5"/>
    <w:rsid w:val="51684CAE"/>
    <w:rsid w:val="51781EBE"/>
    <w:rsid w:val="518A0E7D"/>
    <w:rsid w:val="524719E8"/>
    <w:rsid w:val="583A4788"/>
    <w:rsid w:val="5AB34614"/>
    <w:rsid w:val="5B5C61C7"/>
    <w:rsid w:val="5D643F8F"/>
    <w:rsid w:val="5E34769F"/>
    <w:rsid w:val="605F7539"/>
    <w:rsid w:val="66264AC3"/>
    <w:rsid w:val="674E1DEF"/>
    <w:rsid w:val="6BE00B89"/>
    <w:rsid w:val="6DE17BDF"/>
    <w:rsid w:val="71612EC3"/>
    <w:rsid w:val="7282645B"/>
    <w:rsid w:val="72F04823"/>
    <w:rsid w:val="73591114"/>
    <w:rsid w:val="750803CE"/>
    <w:rsid w:val="78756CB4"/>
    <w:rsid w:val="797E468A"/>
    <w:rsid w:val="7AB12E67"/>
    <w:rsid w:val="7AF063BA"/>
    <w:rsid w:val="7C7A1EA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tbLrV"/>
    </w:tcPr>
  </w:style>
  <w:style w:type="character" w:customStyle="1" w:styleId="9">
    <w:name w:val="批注框文本 Char"/>
    <w:basedOn w:val="8"/>
    <w:link w:val="2"/>
    <w:semiHidden/>
    <w:qFormat/>
    <w:locked/>
    <w:uiPriority w:val="99"/>
    <w:rPr>
      <w:rFonts w:cs="Times New Roman"/>
      <w:sz w:val="18"/>
      <w:szCs w:val="18"/>
    </w:rPr>
  </w:style>
  <w:style w:type="character" w:customStyle="1" w:styleId="10">
    <w:name w:val="页眉 Char"/>
    <w:basedOn w:val="8"/>
    <w:link w:val="4"/>
    <w:qFormat/>
    <w:locked/>
    <w:uiPriority w:val="99"/>
    <w:rPr>
      <w:rFonts w:cs="Times New Roman"/>
      <w:sz w:val="18"/>
      <w:szCs w:val="18"/>
    </w:rPr>
  </w:style>
  <w:style w:type="character" w:customStyle="1" w:styleId="11">
    <w:name w:val="页脚 Char"/>
    <w:basedOn w:val="8"/>
    <w:link w:val="3"/>
    <w:qFormat/>
    <w:locked/>
    <w:uiPriority w:val="99"/>
    <w:rPr>
      <w:rFonts w:cs="Times New Roman"/>
      <w:sz w:val="18"/>
      <w:szCs w:val="18"/>
    </w:rPr>
  </w:style>
  <w:style w:type="character" w:customStyle="1" w:styleId="12">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1174</Words>
  <Characters>1407</Characters>
  <Lines>3</Lines>
  <Paragraphs>1</Paragraphs>
  <TotalTime>1</TotalTime>
  <ScaleCrop>false</ScaleCrop>
  <LinksUpToDate>false</LinksUpToDate>
  <CharactersWithSpaces>1462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2016-06-06T01:36:00Z</dcterms:created>
  <dc:creator>hp</dc:creator>
  <cp:lastModifiedBy>旋子</cp:lastModifiedBy>
  <cp:lastPrinted>2020-07-29T06:36:00Z</cp:lastPrinted>
  <dcterms:modified xsi:type="dcterms:W3CDTF">2020-09-11T02:58:18Z</dcterms:modified>
  <dc:title>青岛市特种设备检验检测研究院会议纪要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